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07347">
      <w:pPr>
        <w:rPr>
          <w:rFonts w:hint="eastAsia"/>
          <w:u w:val="none"/>
          <w:lang w:val="en-US" w:eastAsia="zh-CN"/>
        </w:rPr>
      </w:pPr>
      <w:r>
        <w:rPr>
          <w:rFonts w:hint="eastAsia"/>
          <w:lang w:val="en-US" w:eastAsia="zh-CN"/>
        </w:rPr>
        <w:t>《初级会计实务》模拟考试2     姓名</w:t>
      </w:r>
      <w:r>
        <w:rPr>
          <w:rFonts w:hint="eastAsia"/>
          <w:u w:val="single"/>
          <w:lang w:val="en-US" w:eastAsia="zh-CN"/>
        </w:rPr>
        <w:t xml:space="preserve">              </w:t>
      </w:r>
      <w:r>
        <w:rPr>
          <w:rFonts w:hint="eastAsia"/>
          <w:u w:val="none"/>
          <w:lang w:val="en-US" w:eastAsia="zh-CN"/>
        </w:rPr>
        <w:t xml:space="preserve">     分数</w:t>
      </w:r>
      <w:r>
        <w:rPr>
          <w:rFonts w:hint="eastAsia"/>
          <w:u w:val="single"/>
          <w:lang w:val="en-US" w:eastAsia="zh-CN"/>
        </w:rPr>
        <w:t xml:space="preserve">             </w:t>
      </w:r>
      <w:r>
        <w:rPr>
          <w:rFonts w:hint="eastAsia"/>
          <w:u w:val="none"/>
          <w:lang w:val="en-US" w:eastAsia="zh-CN"/>
        </w:rPr>
        <w:t xml:space="preserve"> </w:t>
      </w:r>
    </w:p>
    <w:p w14:paraId="350A4B0E">
      <w:pPr>
        <w:numPr>
          <w:ilvl w:val="0"/>
          <w:numId w:val="1"/>
        </w:numPr>
        <w:rPr>
          <w:rFonts w:hint="default"/>
          <w:u w:val="none"/>
          <w:lang w:val="en-US" w:eastAsia="zh-CN"/>
        </w:rPr>
      </w:pPr>
      <w:r>
        <w:rPr>
          <w:rFonts w:hint="eastAsia"/>
          <w:u w:val="none"/>
          <w:lang w:val="en-US" w:eastAsia="zh-CN"/>
        </w:rPr>
        <w:t>单项选择题</w:t>
      </w:r>
    </w:p>
    <w:p w14:paraId="6DEF7A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u w:val="none"/>
          <w:lang w:val="en-US" w:eastAsia="zh-CN"/>
        </w:rPr>
        <w:t>1.</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2025 年6 月30 日，甲公司通过证券交易所将持有的交易性金融资产全部出售，出售前交易性金融资产的账面价值为2 200 万元（其中成本为2 000 万元，公允价值变动为200 万元）。出售价款为2636 万元，转让金融商品适用的增值税税率为6%。不考虑其他因素，甲公司2025 年6 月30 日因出售该交易性金融资产应当确认的投资收益为（ ）万元。</w:t>
      </w:r>
    </w:p>
    <w:p w14:paraId="2B3C65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436   B</w:t>
      </w:r>
      <w:r>
        <w:rPr>
          <w:rFonts w:hint="eastAsia"/>
          <w:lang w:val="en-US" w:eastAsia="zh-CN"/>
        </w:rPr>
        <w:t>.</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472   C.400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600</w:t>
      </w:r>
    </w:p>
    <w:p w14:paraId="05DD2D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p>
    <w:p w14:paraId="65769CD1">
      <w:pPr>
        <w:numPr>
          <w:ilvl w:val="0"/>
          <w:numId w:val="0"/>
        </w:numPr>
        <w:rPr>
          <w:rFonts w:hint="eastAsia" w:ascii="微软雅黑" w:hAnsi="微软雅黑" w:eastAsia="微软雅黑" w:cs="微软雅黑"/>
          <w:i w:val="0"/>
          <w:iCs w:val="0"/>
          <w:caps w:val="0"/>
          <w:color w:val="44484D"/>
          <w:spacing w:val="0"/>
          <w:sz w:val="21"/>
          <w:szCs w:val="21"/>
          <w:shd w:val="clear" w:fill="FFFFFF"/>
        </w:rPr>
      </w:pPr>
      <w:r>
        <w:rPr>
          <w:rFonts w:ascii="微软雅黑" w:hAnsi="微软雅黑" w:eastAsia="微软雅黑" w:cs="微软雅黑"/>
          <w:i w:val="0"/>
          <w:iCs w:val="0"/>
          <w:caps w:val="0"/>
          <w:color w:val="44484D"/>
          <w:spacing w:val="0"/>
          <w:sz w:val="21"/>
          <w:szCs w:val="21"/>
          <w:shd w:val="clear" w:fill="FFFFFF"/>
        </w:rPr>
        <w:t>会计分录为：</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借：其他货币资金 2 636</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贷：交易性金融资产——成本 2 000</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——公允价值变动 200</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投资收益 436</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转让金融商品应交增值税＝（2 636 － 2 000）÷（1 ＋ 6%）×6% ＝ 36（万元）。</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借：投资收益 36</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贷：应交税费——转让金融商品应交增值税 36</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因出售该交易性金融资产，甲公司应当确认的投资收益＝ 436 － 36 ＝ 400（万元）。</w:t>
      </w:r>
    </w:p>
    <w:p w14:paraId="7B0C25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某企业为增值税小规模纳税人，该企业购入一批原材料，取得的增值税专用发票上注明价款为100万元、增值税税额13 万元，另支付保险费1 万元。不考虑其他因素，该批材料的入账成本为（ ）万元。</w:t>
      </w:r>
    </w:p>
    <w:p w14:paraId="134BA5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113   B.114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101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100</w:t>
      </w:r>
    </w:p>
    <w:p w14:paraId="7AE075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存货采购过程中发生的运输费、装卸费、保险费、包装费、运输途中的合理损耗、入库前的挑选整理费用等计入存货的采购成本；小规模纳税人外购存货所负担的增值税不得抵扣，计入该存货的成本中，则原材料的入账价值＝ 100 ＋ 13 ＋ 1 ＝ 114（万元）。故选B。</w:t>
      </w:r>
    </w:p>
    <w:p w14:paraId="4805F4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下列各项关于企业期末留存收益的表述中，正确的是（ ）。</w:t>
      </w:r>
    </w:p>
    <w:p w14:paraId="57FC32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不包括当期实现的净利润</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包括注册资本和资本公积</w:t>
      </w:r>
    </w:p>
    <w:p w14:paraId="506890A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是留存子企业的内部积累</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不包括历年结存的利润</w:t>
      </w:r>
    </w:p>
    <w:p w14:paraId="2B5749E6">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留存收益是企业从历年实现的利润中提取或形成的留存于企业的内部积累，包括盈余公积和未分配利润。</w:t>
      </w:r>
    </w:p>
    <w:p w14:paraId="7A6068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4.</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2025 年11 月21 日，某公司购入一项固定资产直接交付使用。该固定资产原值500 万元。预计使用年限5 年，预计净残值5 万元。按年数总和法计提折旧。不考虑其他因素，2025 年该项固定资产应计提的折旧额为（ ）万元。</w:t>
      </w:r>
    </w:p>
    <w:p w14:paraId="0C3584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8.25  B.13.75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27.5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16.5</w:t>
      </w:r>
    </w:p>
    <w:p w14:paraId="5FD4C7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本题考查的是固定资产采用年数总和法计提折旧的计算。由于固定资产当月增加当月不提折旧，从次月起计提折旧，所以，2025 年该项固定资产应计提一个月（即2025 年12 月）折旧，2025 年该项固定资产应计提的折旧额＝（500 － 5）×［5÷（1 ＋ 2 ＋ 3 ＋ 4 ＋ 5）］×1/12＝ 13.75（万元），选项B 正确。</w:t>
      </w:r>
    </w:p>
    <w:p w14:paraId="7BEF6B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5.</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下列各项中，企业销售商品收到银行承兑汇票，应借记的会计科目是（ ）。</w:t>
      </w:r>
    </w:p>
    <w:p w14:paraId="7B1CC4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银行存款</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其他货币资金</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其他业务收入</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应收票据</w:t>
      </w:r>
    </w:p>
    <w:p w14:paraId="6FF5EB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w:t>
      </w:r>
      <w:r>
        <w:rPr>
          <w:rFonts w:ascii="微软雅黑" w:hAnsi="微软雅黑" w:eastAsia="微软雅黑" w:cs="微软雅黑"/>
          <w:i w:val="0"/>
          <w:iCs w:val="0"/>
          <w:caps w:val="0"/>
          <w:color w:val="44484D"/>
          <w:spacing w:val="0"/>
          <w:sz w:val="21"/>
          <w:szCs w:val="21"/>
          <w:shd w:val="clear" w:fill="FFFFFF"/>
        </w:rPr>
        <w:t>企业因销售商品、提供服务等而收到的商业汇票，借记“应收票据”科目，贷记“主营业务收入”“应交税费——应交增值税（销项税额）”等科目。</w:t>
      </w:r>
    </w:p>
    <w:p w14:paraId="1CBC09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6.</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某企业为增值税一般纳税人，自行研究开发一项技术，共发生研发支出450 万元，其中，研究阶段发生职工薪酬100 万元，专用设备折旧费用50 万元；开发阶段满足资本化条件的支出300 万元，取得增值税专用发票上注明的增值税税额为39 万元。开发阶段结束后该项技术达到预定用途，形成无形资产。不考虑其他因素，下列各项中，关于该企业研发支出会计处理表述正确的是（ ）。</w:t>
      </w:r>
    </w:p>
    <w:p w14:paraId="48DE28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确认管理费用150 万元，确认无形资产339 万元</w:t>
      </w:r>
    </w:p>
    <w:p w14:paraId="502FF35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确认管理费用150 万元，确认无形资产300 万元</w:t>
      </w:r>
    </w:p>
    <w:p w14:paraId="393F99BB">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确认管理费用100 万元，确认无形资产350 万元</w:t>
      </w:r>
    </w:p>
    <w:p w14:paraId="5A97E0F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确认管理费用189 万元，确认无形资产300 万元</w:t>
      </w:r>
    </w:p>
    <w:p w14:paraId="584CE0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研究阶段的支出应确认为管理费用，金额为150 万元；开发阶段满足资本化条件的支出应确认为无形资产，金额为300 万元。故选项B 正确。</w:t>
      </w:r>
    </w:p>
    <w:p w14:paraId="224E9F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7.</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2025 年度，某企业实现国债利息收入200 万元，支付税收滞纳金20 万元，实现利润总额为1 000 万元。假定该企业全年无其他纳税调整事项，适用企业所得税税率为25%。不考虑其他因素，该企业2025年应交所得税为（ ）万元。</w:t>
      </w:r>
    </w:p>
    <w:p w14:paraId="2B0325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200   </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205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250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295</w:t>
      </w:r>
    </w:p>
    <w:p w14:paraId="5A4514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p>
    <w:p w14:paraId="6A1DDE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ascii="微软雅黑" w:hAnsi="微软雅黑" w:eastAsia="微软雅黑" w:cs="微软雅黑"/>
          <w:i w:val="0"/>
          <w:iCs w:val="0"/>
          <w:caps w:val="0"/>
          <w:color w:val="44484D"/>
          <w:spacing w:val="0"/>
          <w:sz w:val="21"/>
          <w:szCs w:val="21"/>
          <w:shd w:val="clear" w:fill="FFFFFF"/>
        </w:rPr>
        <w:t>应交所得税＝（1 000 － 200 ＋ 20）×25% ＝ 205（万元），故选项B 正确。</w:t>
      </w:r>
    </w:p>
    <w:p w14:paraId="4250DD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8.</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下列各项中，不属于影响利润表“利润总额”项目的是（ ）。</w:t>
      </w:r>
    </w:p>
    <w:p w14:paraId="5FFFA0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收到政府补助确认的其他收益</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无法查明原因的现金溢余</w:t>
      </w:r>
    </w:p>
    <w:p w14:paraId="7ADAB1C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确认的资产减值损失</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确认的所得税费用</w:t>
      </w:r>
    </w:p>
    <w:p w14:paraId="2D631E10">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w:t>
      </w:r>
      <w:r>
        <w:rPr>
          <w:rFonts w:ascii="微软雅黑" w:hAnsi="微软雅黑" w:eastAsia="微软雅黑" w:cs="微软雅黑"/>
          <w:i w:val="0"/>
          <w:iCs w:val="0"/>
          <w:caps w:val="0"/>
          <w:color w:val="44484D"/>
          <w:spacing w:val="0"/>
          <w:sz w:val="21"/>
          <w:szCs w:val="21"/>
          <w:shd w:val="clear" w:fill="FFFFFF"/>
        </w:rPr>
        <w:t>确认的所得税费用不影响利润表“利润总额”项目，影响“净利润”项目，故选项D 正确。</w:t>
      </w:r>
    </w:p>
    <w:p w14:paraId="03C79E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9.</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以权责发生制为核算基础，下列收入或费用中，不属于本期的是（ ）。</w:t>
      </w:r>
    </w:p>
    <w:p w14:paraId="6AF9D2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本期支付下期的房租</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本期支付本期的房租</w:t>
      </w:r>
    </w:p>
    <w:p w14:paraId="4888763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上期支付的本期房租</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本期销售商品，尚未收到货款</w:t>
      </w:r>
    </w:p>
    <w:p w14:paraId="56EEC064">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本题考核权责发生制。权责发生制要求凡是当期已经实现的收入和已经发生或者应当负担的费用，无论款项是否收付，都应当作为当期的收入和费用；凡是不属于当期的收入和费用，即使款项已在当期收付，也不应当作为当期的收入和费用。本期支付下期的房租不应当作为当期的费用，选项A 符合题意。</w:t>
      </w:r>
    </w:p>
    <w:p w14:paraId="5CCA9E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10.</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下列各项中，制造业企业应交消费税的会计处理表述正确的是（ ）。</w:t>
      </w:r>
    </w:p>
    <w:p w14:paraId="099485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销售应税消费品，应交的消费税应借记“主营业务成本”科目</w:t>
      </w:r>
    </w:p>
    <w:p w14:paraId="0B039CD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委托加工物资收回后，用于连续生产应税消费品时，由受托方代收代缴的按税法规定准予抵扣的消费税应借记“委托加工物资”科目</w:t>
      </w:r>
    </w:p>
    <w:p w14:paraId="3FDDD4F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将自产的应税消费品用于本企业在建工程，应交的消费税应计入工程成本，借记“在建工程”科目</w:t>
      </w:r>
    </w:p>
    <w:p w14:paraId="48C2EC7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将自产的应税消费品作为职工福利发放给行政管理人员，应交的消费税应借记“管理费用”科目</w:t>
      </w:r>
    </w:p>
    <w:p w14:paraId="6BD2334A">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选项A 错误，企业销售应税消费品应交的消费税，应借记“税金及附加”科目，贷记“应交税费——应交消费税”科目。选项B 错误，委托加工物资收回后，用于连续生产应税消费品时，由受托方代收代缴的按税法规定准予抵扣的消费税应借记“应交税费——应交消费税”科目。选项D 错误，将自产的应税消费品作为职工福利发放给行政管理人员，消费税记入“税金及附加”科目。</w:t>
      </w:r>
    </w:p>
    <w:p w14:paraId="0D32D5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11.</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下列各项中，不属于所有者权益变动表项目的是（ ）。</w:t>
      </w:r>
    </w:p>
    <w:p w14:paraId="111ACA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提取盈余公积</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应付债券</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综合收益总额</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所有者投入和减少资本</w:t>
      </w:r>
    </w:p>
    <w:p w14:paraId="1A4424D1">
      <w:pPr>
        <w:keepNext w:val="0"/>
        <w:keepLines w:val="0"/>
        <w:widowControl/>
        <w:suppressLineNumbers w:val="0"/>
        <w:spacing w:before="0" w:beforeAutospacing="0" w:after="0" w:afterAutospacing="0"/>
        <w:ind w:left="0" w:right="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p>
    <w:p w14:paraId="02EDFD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12.</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分步法适用于（ ）的企业。</w:t>
      </w:r>
    </w:p>
    <w:p w14:paraId="0BBC3A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大量成批生产</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单件小批生产</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单步骤生产</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大量大批多步骤生产</w:t>
      </w:r>
    </w:p>
    <w:p w14:paraId="2858C1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w:t>
      </w:r>
      <w:r>
        <w:rPr>
          <w:rFonts w:ascii="微软雅黑" w:hAnsi="微软雅黑" w:eastAsia="微软雅黑" w:cs="微软雅黑"/>
          <w:i w:val="0"/>
          <w:iCs w:val="0"/>
          <w:caps w:val="0"/>
          <w:color w:val="44484D"/>
          <w:spacing w:val="0"/>
          <w:sz w:val="21"/>
          <w:szCs w:val="21"/>
          <w:shd w:val="clear" w:fill="FFFFFF"/>
        </w:rPr>
        <w:t>分步法，是指按照生产过程中各个加工步骤（分品种）为成本核算对象，归集和分配生产成本，计算各步骤半成品和最后产成品成本的一种方法。这种方法适用于大量大批的多步骤生产的企业。</w:t>
      </w:r>
    </w:p>
    <w:p w14:paraId="76140D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13.</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下列各项中，属于行政单位预算会计要素的是（ ）。</w:t>
      </w:r>
    </w:p>
    <w:p w14:paraId="5E2434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资产</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预算结余</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净资产</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负债</w:t>
      </w:r>
    </w:p>
    <w:p w14:paraId="75E5DA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单位预算会计要素包括预算收入、预算支出与预算结余；单位财务会计要素包括资产、负债、净资产、收入和费用。</w:t>
      </w:r>
    </w:p>
    <w:p w14:paraId="7B1810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14.</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某咨询服务公司本月与客户签订为期半年的咨询服务合同，并已预收全部咨询服务费，该合同于下月开始执行。下列各项中，该公司预收咨询服务费应记入的会计科目是（ ）。</w:t>
      </w:r>
    </w:p>
    <w:p w14:paraId="06FBE3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合同取得成本</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合同负债</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主营业务成本</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主营业务收入</w:t>
      </w:r>
    </w:p>
    <w:p w14:paraId="628CAF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选项B 正确，签订咨询服务合同属于在某一时段内履行的履约义务，预收咨询服务费，相关账务处理如下：</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br w:type="textWrapping"/>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借：银行存款</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br w:type="textWrapping"/>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贷：合同负债等</w:t>
      </w:r>
    </w:p>
    <w:p w14:paraId="4EC23B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15.甲公司和乙公司为非同一控制下的两家独立公司。6 月30 日，甲公司以其拥有的固定资产对乙公司投资，取得乙公司60% 的股权。该固定资产原值750 万元，已累计计提折旧200 万元，已计提减值准备50 万元，投资日该固定资产的公允价值为600 万元。6 月30 日，乙公司的可辨认净资产公允价值为900 万元，不考虑其他因素，甲公司应确认的长期股权投资初始投资成本为（ ）万元。</w:t>
      </w:r>
    </w:p>
    <w:p w14:paraId="566B9AB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540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500  </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600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750</w:t>
      </w:r>
    </w:p>
    <w:p w14:paraId="2172D8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本题考查的是以非货币性资产取得非同一控制下企业合并形成的长期股权投资的会计处理。非同一控制下企业合并形成的长期股权投资，购买方以转让非现金资产方式作为合并对价的，应在购买日按照非现金资产的公允价值作为初始投资成本计量确定合并成本，因此甲公司确定的该项长期股权投资初始投资成本为600 万元，选项C 正确。甲公司应编制的会计分录为：</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借：固定资产清理 500</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累计折旧 200</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固定资产减值准备 50</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贷：固定资产 750</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借：长期股权投资 600</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贷：固定资产清理 500</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资产处置损益 100</w:t>
      </w:r>
    </w:p>
    <w:p w14:paraId="7E09E7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16.下列各项中，关于企业发行股票交易费用的会计处理表述正确的有（ ）。</w:t>
      </w:r>
    </w:p>
    <w:p w14:paraId="54F441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应计入管理费用核算</w:t>
      </w:r>
    </w:p>
    <w:p w14:paraId="32C19032">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无溢价发行股票的，其交易费用应冲减本年利润</w:t>
      </w:r>
    </w:p>
    <w:p w14:paraId="03DE67B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溢价发行股票且溢价足以抵扣交易费用的，应从溢价中抵扣</w:t>
      </w:r>
    </w:p>
    <w:p w14:paraId="4F52E68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溢价金额不足抵扣交易费用的，应冲减资本公积</w:t>
      </w:r>
    </w:p>
    <w:p w14:paraId="29594C72">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溢价发行股票的，应从溢价中抵扣，冲减资本公积（股本溢价），选项A 错误、选项C 正确；无溢价发行股票或溢价金额不足以抵扣的，应将不足抵扣的部分冲减盈余公积，盈余公积不足抵扣的，冲减未分配利润，选项B、D 错误。</w:t>
      </w:r>
    </w:p>
    <w:p w14:paraId="2973A1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17.</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2025 年12 月31 日，某公司下列会计科目余额为：“固定资产”借方科目余额1 000 万元，“累计折旧”科目贷方余额400 万元，“固定资产减值准备”科目贷方余额80 万元，“固定资产清理”科目借方余额30 万元。2025 年12 月31 日，该公司资产负债表中“固定资产”项目期末余额应列报的金额为（ ）万元。</w:t>
      </w:r>
    </w:p>
    <w:p w14:paraId="2C8AC8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550</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600</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520</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620</w:t>
      </w:r>
    </w:p>
    <w:p w14:paraId="2BD6BA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ind w:left="0" w:right="0" w:firstLine="0"/>
        <w:jc w:val="left"/>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固定资产”项目期末应根据“固定资产”科目的期末余额，减去“累计折旧”和“固定资产减值准备”科目的期末余额后的金额，以及“固定资产清理”科目的期末余额填列，所以本题中“固定资产”项目的填列金额＝ 1 000 － 400 － 80 ＋ 30 ＝ 550（万元），选项A 正确。</w:t>
      </w:r>
    </w:p>
    <w:p w14:paraId="49A0E9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18.某企业月初库存材料的计划成本为120 万元，材料成本差异为节约2 万元。本月入库材料的计划成本为180 万元，材料成本差异为节约1.6 万元；本月生产产品耗用材料的计划成本为200 万元。不考虑其他因素，该企业月末库存材料的实际成本为（ ）万元。</w:t>
      </w:r>
    </w:p>
    <w:p w14:paraId="3819CC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200</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98.8</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101.2</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100</w:t>
      </w:r>
    </w:p>
    <w:p w14:paraId="1AA269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材料成本差异率＝（期初结存材料的成本差异＋本期验收入库材料的成本差异）/（期初结存材料的计划成本＋本期验收入库材料的计划成本）＝（－ 2 － 1.6）/（120 ＋ 180）×100%＝－ 1.2%；结存材料的实际成本＝结存材料的计划成本×（1 ＋材料成本差异率）＝（120 ＋180 － 200）×（1 － 1.2%）＝ 98.8（万元）。</w:t>
      </w:r>
    </w:p>
    <w:p w14:paraId="064AF4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19.下列关于无形资产的说法，不正确的是（ ）。</w:t>
      </w:r>
    </w:p>
    <w:p w14:paraId="7804C4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企业购入的无形资产成本应当包括购买价款、相关税费以及可直接归属于使该项资产达到预定用途所发生的其他支出</w:t>
      </w:r>
    </w:p>
    <w:p w14:paraId="28BD30E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无形资产出售时发生的净收益应计入其他业务收入</w:t>
      </w:r>
    </w:p>
    <w:p w14:paraId="4CCEA98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无形资产应当按月计提摊销，处置当月不再进行摊销</w:t>
      </w:r>
    </w:p>
    <w:p w14:paraId="0AFFD19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无形资产计提的减值准备在持有期间不能转回</w:t>
      </w:r>
    </w:p>
    <w:p w14:paraId="18DEA685">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无形资产出售时发生的净收益应计入资产处置损益。</w:t>
      </w:r>
    </w:p>
    <w:p w14:paraId="138298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20.</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甲公司为增值税一般纳税人，2025 年6 月20 日因管理不善造成一批库存材料毁损。该批材料账面余额为10 000 元，增值税进项税额为1 300 元，未计提存货跌价准备，收回残料价值600 元，应由责任人赔偿1 000 元。不考虑其他因素，甲公司应确认的材料毁损净损失为（ ）元。</w:t>
      </w:r>
    </w:p>
    <w:p w14:paraId="02A9FD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9 000</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9 400</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9 700</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8 400</w:t>
      </w:r>
    </w:p>
    <w:p w14:paraId="0952A5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相关会计分录如下：</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批准处理前：</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借：待处理财产损溢 11 300</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贷：原材料 10 000</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应交税费——应交增值税（进项税额转出） 1 300</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批准处理后：</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借：其他应收款 1 000</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原材料 600</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管理费用 9 700</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贷：待处理财产损溢 11 300</w:t>
      </w:r>
    </w:p>
    <w:p w14:paraId="1F0F2FE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firstLine="0" w:firstLineChars="0"/>
        <w:jc w:val="left"/>
        <w:rPr>
          <w:rFonts w:hint="eastAsia" w:ascii="微软雅黑" w:hAnsi="微软雅黑" w:eastAsia="微软雅黑" w:cs="微软雅黑"/>
          <w:i w:val="0"/>
          <w:iCs w:val="0"/>
          <w:caps w:val="0"/>
          <w:color w:val="44484D"/>
          <w:spacing w:val="0"/>
          <w:sz w:val="21"/>
          <w:szCs w:val="21"/>
          <w:shd w:val="clear" w:fill="FFFFFF"/>
          <w:lang w:val="en-US" w:eastAsia="zh-CN"/>
        </w:rPr>
      </w:pPr>
      <w:r>
        <w:rPr>
          <w:rFonts w:hint="eastAsia" w:ascii="微软雅黑" w:hAnsi="微软雅黑" w:eastAsia="微软雅黑" w:cs="微软雅黑"/>
          <w:i w:val="0"/>
          <w:iCs w:val="0"/>
          <w:caps w:val="0"/>
          <w:color w:val="44484D"/>
          <w:spacing w:val="0"/>
          <w:sz w:val="21"/>
          <w:szCs w:val="21"/>
          <w:shd w:val="clear" w:fill="FFFFFF"/>
          <w:lang w:val="en-US" w:eastAsia="zh-CN"/>
        </w:rPr>
        <w:t>多项选择题</w:t>
      </w:r>
    </w:p>
    <w:p w14:paraId="3DD170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下列各项中，应列入现金流量表中“投资活动产生的现金流量”项目的有（ ）。</w:t>
      </w:r>
    </w:p>
    <w:p w14:paraId="044F13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出售固定资产收到的款项</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偿还前欠购进原材料的款项</w:t>
      </w:r>
    </w:p>
    <w:p w14:paraId="6A5FFB7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出售债权投资收到的款项</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经营出租无形资产收到的租金</w:t>
      </w:r>
    </w:p>
    <w:p w14:paraId="64F7866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AC</w:t>
      </w:r>
      <w:r>
        <w:rPr>
          <w:rFonts w:ascii="微软雅黑" w:hAnsi="微软雅黑" w:eastAsia="微软雅黑" w:cs="微软雅黑"/>
          <w:i w:val="0"/>
          <w:iCs w:val="0"/>
          <w:caps w:val="0"/>
          <w:color w:val="44484D"/>
          <w:spacing w:val="0"/>
          <w:sz w:val="21"/>
          <w:szCs w:val="21"/>
          <w:shd w:val="clear" w:fill="FFFFFF"/>
        </w:rPr>
        <w:t>本题考查的是经济业务对现金流量表投资活动产生的现金流量项目的影响。出售固定资产收到的款项、出售债权投资收到的款项属于投资活动产生的现金流入，选项AC 正确；偿还前欠购进原材料的款项属于经营活动产生的现金流出，选项B 错误；经营出租无形资产收到的租金属于经营活动产生的现金流入，选项D 错误。</w:t>
      </w:r>
    </w:p>
    <w:p w14:paraId="6B8867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下列各项中，关于科目汇总表账务处理程序的相关表述正确的有（ ）。</w:t>
      </w:r>
    </w:p>
    <w:p w14:paraId="3C91DB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增加了登记总分类账的工作量</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适用于经济业务较多的单位</w:t>
      </w:r>
    </w:p>
    <w:p w14:paraId="7E934E8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可以起到试算平衡的作用并检查记账正确与否</w:t>
      </w:r>
    </w:p>
    <w:p w14:paraId="0FEE73DD">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不能反映账户之间的对应关系，不利于账目检查</w:t>
      </w:r>
    </w:p>
    <w:p w14:paraId="7BCB935E">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BCD</w:t>
      </w:r>
      <w:r>
        <w:rPr>
          <w:rFonts w:ascii="微软雅黑" w:hAnsi="微软雅黑" w:eastAsia="微软雅黑" w:cs="微软雅黑"/>
          <w:i w:val="0"/>
          <w:iCs w:val="0"/>
          <w:caps w:val="0"/>
          <w:color w:val="44484D"/>
          <w:spacing w:val="0"/>
          <w:sz w:val="21"/>
          <w:szCs w:val="21"/>
          <w:shd w:val="clear" w:fill="FFFFFF"/>
        </w:rPr>
        <w:t>科目汇总表账务处理程序适用于经济业务较多的单位，其优点是减轻了登记总分类账的工作量（选项A 错误）并可以进行试算平衡，缺点是不能反映各账户之间的对应关系，不利于对账目进行检查。</w:t>
      </w:r>
    </w:p>
    <w:p w14:paraId="7C79E0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下列各项中，关于交易性金融资产会计处理表述正确的有（ ）。</w:t>
      </w:r>
    </w:p>
    <w:p w14:paraId="20E401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取得时所支付的价款中包含已宣告未发放的现金股利，不应单独确认为应收项目</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取得时发生的相关交易费用应当计入交易性金融资产的初始入账成本</w:t>
      </w:r>
    </w:p>
    <w:p w14:paraId="0F5DC11B">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持有期间被投资单位宣告发放的现金股利应确认为投资收益</w:t>
      </w:r>
    </w:p>
    <w:p w14:paraId="60382CD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资产负债表日其公允价值与账面余额之间的差额应计入当期损益</w:t>
      </w:r>
    </w:p>
    <w:p w14:paraId="06AC4E1F">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CD</w:t>
      </w:r>
      <w:r>
        <w:rPr>
          <w:rFonts w:ascii="微软雅黑" w:hAnsi="微软雅黑" w:eastAsia="微软雅黑" w:cs="微软雅黑"/>
          <w:i w:val="0"/>
          <w:iCs w:val="0"/>
          <w:caps w:val="0"/>
          <w:color w:val="44484D"/>
          <w:spacing w:val="0"/>
          <w:sz w:val="21"/>
          <w:szCs w:val="21"/>
          <w:shd w:val="clear" w:fill="FFFFFF"/>
        </w:rPr>
        <w:t>取得时所支付的价款中包含已宣告未发放的现金股利，应单独确认为应收项目，故选项A 错误；取得时发生的相关交易费用应当计入投资收益，故选项B 错误。</w:t>
      </w:r>
    </w:p>
    <w:p w14:paraId="097AAD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4.</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下列各项中，属于费用的有（ ）。</w:t>
      </w:r>
    </w:p>
    <w:p w14:paraId="3B0274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销售商品等经常性活动发生的成本</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参加博览会支付的展览费</w:t>
      </w:r>
    </w:p>
    <w:p w14:paraId="540B840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企业发生的印花税</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因违约支付的赔偿款</w:t>
      </w:r>
    </w:p>
    <w:p w14:paraId="5D74A720">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w:t>
      </w:r>
      <w:r>
        <w:rPr>
          <w:rFonts w:ascii="微软雅黑" w:hAnsi="微软雅黑" w:eastAsia="微软雅黑" w:cs="微软雅黑"/>
          <w:i w:val="0"/>
          <w:iCs w:val="0"/>
          <w:caps w:val="0"/>
          <w:color w:val="44484D"/>
          <w:spacing w:val="0"/>
          <w:sz w:val="21"/>
          <w:szCs w:val="21"/>
          <w:shd w:val="clear" w:fill="FFFFFF"/>
        </w:rPr>
        <w:t>选项D，计入营业外支出，不属于费用，属于损失</w:t>
      </w:r>
    </w:p>
    <w:p w14:paraId="3CF560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5.</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下列各项中，计入产品成本“制造费用”项目的有（ ）。</w:t>
      </w:r>
    </w:p>
    <w:p w14:paraId="0FD90C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生产车间机器设备的折旧费</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车间管理用的照明费</w:t>
      </w:r>
    </w:p>
    <w:p w14:paraId="44F2E07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专门用于生产产品的专利技术的摊销额</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直接用于产品生产的自制材料</w:t>
      </w:r>
    </w:p>
    <w:p w14:paraId="2079E4D7">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w:t>
      </w:r>
      <w:r>
        <w:rPr>
          <w:rFonts w:ascii="微软雅黑" w:hAnsi="微软雅黑" w:eastAsia="微软雅黑" w:cs="微软雅黑"/>
          <w:i w:val="0"/>
          <w:iCs w:val="0"/>
          <w:caps w:val="0"/>
          <w:color w:val="44484D"/>
          <w:spacing w:val="0"/>
          <w:sz w:val="21"/>
          <w:szCs w:val="21"/>
          <w:shd w:val="clear" w:fill="FFFFFF"/>
        </w:rPr>
        <w:t>选项D，计入产品成本直接材料项目。</w:t>
      </w:r>
    </w:p>
    <w:p w14:paraId="6B1512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6.</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下列各项中，关于会计职业道德与会计法律制度区别的表述，正确的有（ ）。</w:t>
      </w:r>
    </w:p>
    <w:p w14:paraId="721055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会计法律制度通过国家权力强制执行，具有很强的他律性</w:t>
      </w:r>
    </w:p>
    <w:p w14:paraId="58D2496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会计法律制度侧重于调整会计人员的外在行为和结果的合法化，具有较强的客观性</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会计职业道德表现形式是具体的、明确的、正式形成文字的成文规定</w:t>
      </w:r>
    </w:p>
    <w:p w14:paraId="71B717B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会计法律制度以法律规定为评价标准</w:t>
      </w:r>
    </w:p>
    <w:p w14:paraId="42AABEFF">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ABD</w:t>
      </w:r>
      <w:r>
        <w:rPr>
          <w:rFonts w:ascii="微软雅黑" w:hAnsi="微软雅黑" w:eastAsia="微软雅黑" w:cs="微软雅黑"/>
          <w:i w:val="0"/>
          <w:iCs w:val="0"/>
          <w:caps w:val="0"/>
          <w:color w:val="44484D"/>
          <w:spacing w:val="0"/>
          <w:sz w:val="21"/>
          <w:szCs w:val="21"/>
          <w:shd w:val="clear" w:fill="FFFFFF"/>
        </w:rPr>
        <w:t>会计职业道德出自于会计人员的职业生活和职业实践，其表现形式既有成文的规范，也有不成文的规范；会计法律制度是通过一定的程序由国家立法部门或行政管理部门制定、颁布的，其表现形式是具体的、明确的、正式形成文字的成文规定。</w:t>
      </w:r>
    </w:p>
    <w:p w14:paraId="7791F3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7.</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下列关于对子公司长期股权投资会计处理的表述中，正确的有（ ）。</w:t>
      </w:r>
    </w:p>
    <w:p w14:paraId="0CBA6A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应采用成本法核算</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处置长期股权投资时应结转其已计提的减值准备</w:t>
      </w:r>
    </w:p>
    <w:p w14:paraId="67AF49C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投资方按被投资方实现净利润应享有的份额确认投资收益</w:t>
      </w:r>
    </w:p>
    <w:p w14:paraId="1D8A33C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投资方按被投资方宣告发放现金股利应享有的份额确认投资收益</w:t>
      </w:r>
    </w:p>
    <w:p w14:paraId="00C19E42">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ABD</w:t>
      </w:r>
      <w:r>
        <w:rPr>
          <w:rFonts w:ascii="微软雅黑" w:hAnsi="微软雅黑" w:eastAsia="微软雅黑" w:cs="微软雅黑"/>
          <w:i w:val="0"/>
          <w:iCs w:val="0"/>
          <w:caps w:val="0"/>
          <w:color w:val="44484D"/>
          <w:spacing w:val="0"/>
          <w:sz w:val="21"/>
          <w:szCs w:val="21"/>
          <w:shd w:val="clear" w:fill="FFFFFF"/>
        </w:rPr>
        <w:t>本题考查的是对子公司长期股权投资的会计处理。母公司持有的对其子公司的投资，在后续计量时采用成本法核算，选项A 正确；母公司在处置对其子公司的长期股权投资时，如果该项长期股权投资之前计提过减值准备，在处置时应作相应结转，选项B 正确；成本法核算下，投资方对被投资方实现的净利润无须进行会计处理，选项C 错误；成本法核算下，投资方按被投资方宣告发放现金股利应享有的份额确认投资收益，并计入应收股利，选项D 正确。</w:t>
      </w:r>
    </w:p>
    <w:p w14:paraId="273B1F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8.下列各项中，关于会计数据处理和应用的表述，正确的有（ ）。</w:t>
      </w:r>
    </w:p>
    <w:p w14:paraId="1F8FD39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单位应当遵循国家统一的会计数据标准</w:t>
      </w:r>
    </w:p>
    <w:p w14:paraId="22A5A80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单位处理和应用电子会计凭证，应当保证电子会计凭证的接收、生成、传输、存储等各环节安全可靠</w:t>
      </w:r>
    </w:p>
    <w:p w14:paraId="411E7CC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单位以电子会计凭证的纸质打印件作为报销依据的，无须保存打印该纸质件的电子会计凭证原文件</w:t>
      </w:r>
    </w:p>
    <w:p w14:paraId="12DC5F2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单位以纸质会计凭证的电子影像文件作为报销、入账、归档依据的，必须同时保存纸质会计凭证，并建立电子影像文件与其对应纸质会计凭证的检索关系</w:t>
      </w:r>
    </w:p>
    <w:p w14:paraId="75872661">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ABD</w:t>
      </w:r>
      <w:r>
        <w:rPr>
          <w:rFonts w:ascii="微软雅黑" w:hAnsi="微软雅黑" w:eastAsia="微软雅黑" w:cs="微软雅黑"/>
          <w:i w:val="0"/>
          <w:iCs w:val="0"/>
          <w:caps w:val="0"/>
          <w:color w:val="44484D"/>
          <w:spacing w:val="0"/>
          <w:sz w:val="21"/>
          <w:szCs w:val="21"/>
          <w:shd w:val="clear" w:fill="FFFFFF"/>
        </w:rPr>
        <w:t>选项C 错误，单位以电子会计凭证的纸质打印件作为报销、入账、归档依据的，必须同时保存打印该纸质件的电子会计凭证原文件，并建立纸质会计凭证与其对应电子文件的检索关系。</w:t>
      </w:r>
    </w:p>
    <w:p w14:paraId="5D07AA8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9.</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下列各项中，对合同取得成本相关会计处理表述正确的有（ ）。</w:t>
      </w:r>
    </w:p>
    <w:p w14:paraId="19ADD20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合同取得成本是指企业为取得合同发生的预期能够收回的增量成本</w:t>
      </w:r>
    </w:p>
    <w:p w14:paraId="7D0D5AA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为取得合同发生的差旅费、投标费在发生时应计入合同取得成本</w:t>
      </w:r>
    </w:p>
    <w:p w14:paraId="5932C0E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按期摊销的合同取得成本应计入销售费用等科目</w:t>
      </w:r>
    </w:p>
    <w:p w14:paraId="36968FC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销售人员因累计业绩达到公司要求，取得的奖金应确认为合同取得成本</w:t>
      </w:r>
    </w:p>
    <w:p w14:paraId="5EFC311C">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AC</w:t>
      </w:r>
      <w:r>
        <w:rPr>
          <w:rFonts w:ascii="微软雅黑" w:hAnsi="微软雅黑" w:eastAsia="微软雅黑" w:cs="微软雅黑"/>
          <w:i w:val="0"/>
          <w:iCs w:val="0"/>
          <w:caps w:val="0"/>
          <w:color w:val="44484D"/>
          <w:spacing w:val="0"/>
          <w:sz w:val="21"/>
          <w:szCs w:val="21"/>
          <w:shd w:val="clear" w:fill="FFFFFF"/>
        </w:rPr>
        <w:t>合同取得成本是企业为取得合同发生的预期能够收回的增量成本。增量成本是指企业不取得合同就不会发生的成本。对于企业而言，销售人员因累计业绩达到公司要求，企业应支付的奖金并非针对取得某一特定合同，不是取得某合同的增量成本，不能确认为合同取得成本，应单独确认销售费用，选项D 错误。无论是否取得合同均会发生的差旅费、投标费、为准备投标资料发生的相关费用等，应当在发生时计入当期损益（管理费用），不属于增量成本，除非这些支出明确由客户承担，选项B 错误。</w:t>
      </w:r>
    </w:p>
    <w:p w14:paraId="63CE45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10.</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下列各项中，属于企业资产负债表“存货”项目范围的有（ ）。</w:t>
      </w:r>
    </w:p>
    <w:p w14:paraId="1E2FC2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已经购入但尚未运达本企业的存货</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已售出但货物尚未运离本企业的存货</w:t>
      </w:r>
    </w:p>
    <w:p w14:paraId="3B44BA0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存放外地仓库但尚未售出的存货</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已经购入的修理用备件（备品备件）</w:t>
      </w:r>
    </w:p>
    <w:p w14:paraId="4BA47EFC">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ACD</w:t>
      </w:r>
      <w:r>
        <w:rPr>
          <w:rFonts w:ascii="微软雅黑" w:hAnsi="微软雅黑" w:eastAsia="微软雅黑" w:cs="微软雅黑"/>
          <w:i w:val="0"/>
          <w:iCs w:val="0"/>
          <w:caps w:val="0"/>
          <w:color w:val="44484D"/>
          <w:spacing w:val="0"/>
          <w:sz w:val="21"/>
          <w:szCs w:val="21"/>
          <w:shd w:val="clear" w:fill="FFFFFF"/>
        </w:rPr>
        <w:t>选项B，已售出但货物尚未运离本企业的存货，其所以权已经转移，不再属于本企业的存货。</w:t>
      </w:r>
    </w:p>
    <w:p w14:paraId="677E71D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lang w:val="en-US" w:eastAsia="zh-CN"/>
        </w:rPr>
      </w:pPr>
      <w:r>
        <w:rPr>
          <w:rFonts w:hint="eastAsia" w:ascii="微软雅黑" w:hAnsi="微软雅黑" w:eastAsia="微软雅黑" w:cs="微软雅黑"/>
          <w:i w:val="0"/>
          <w:iCs w:val="0"/>
          <w:caps w:val="0"/>
          <w:color w:val="44484D"/>
          <w:spacing w:val="0"/>
          <w:sz w:val="21"/>
          <w:szCs w:val="21"/>
          <w:shd w:val="clear" w:fill="FFFFFF"/>
          <w:lang w:val="en-US" w:eastAsia="zh-CN"/>
        </w:rPr>
        <w:t>三判断题</w:t>
      </w:r>
    </w:p>
    <w:p w14:paraId="6AD805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企业生产车间在一定时期内领用原材料多次使用同一张“限额领料单”，该领料单属于累计凭证。（ ）</w:t>
      </w:r>
    </w:p>
    <w:p w14:paraId="0E6A6B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14:paraId="1FA07A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p>
    <w:p w14:paraId="1D9BA6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账结法下，各损益类科目每月月末只需结计出本月发生额和月末累计余额，不结转到本年利润科目，只有在年末时才将全年累计余额结转入本年利润科目。 （ ）</w:t>
      </w:r>
    </w:p>
    <w:p w14:paraId="7334A8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14:paraId="72F5BA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账结法下，每月月末均需编制转账凭证，将在账上结计出的各损益类科目的余额结转入“本年利润”科目。</w:t>
      </w:r>
    </w:p>
    <w:p w14:paraId="0DCE7F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企业将某项房地产部分用于出租，部分自用，如果出租部分能单独计量和出售，企业应将该项房地产整体确认为投资性房地产。 （ ）</w:t>
      </w:r>
    </w:p>
    <w:p w14:paraId="0A5BE9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14:paraId="334CF7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企业将某项房地产部分用于出租，部分自用，如果出租部分能单独计量和出售，企业应将该部分确认为投资性房地产；这部分不能单独计量和出售的，确认为固定资产或无形资产。</w:t>
      </w:r>
    </w:p>
    <w:p w14:paraId="18EAA0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4.</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企业购进的货物发生非正常损失，以及将购进货物改变用途的（如用于集体福利或个人消费等），其进项税额应通过“应交税费——应交增值税（进项税额转出）”科目核算。 （ ）</w:t>
      </w:r>
    </w:p>
    <w:p w14:paraId="5DE0E2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14:paraId="3A66F2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p>
    <w:p w14:paraId="615712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5.</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股份有限公司回购并注销股票支付的价款高于股票面值时，其差额应计入财务费用。 （ ）</w:t>
      </w:r>
    </w:p>
    <w:p w14:paraId="64AC0F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14:paraId="4B4740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p>
    <w:p w14:paraId="7F71DF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ascii="微软雅黑" w:hAnsi="微软雅黑" w:eastAsia="微软雅黑" w:cs="微软雅黑"/>
          <w:i w:val="0"/>
          <w:iCs w:val="0"/>
          <w:caps w:val="0"/>
          <w:color w:val="44484D"/>
          <w:spacing w:val="0"/>
          <w:sz w:val="21"/>
          <w:szCs w:val="21"/>
          <w:shd w:val="clear" w:fill="FFFFFF"/>
        </w:rPr>
        <w:t>如果回购股票支付的价款高于股票面值总额，按股票面值和注销股数计算的股票面值总额，借记“股本”科目，按注销库存股的账面余额，贷记“库存股”科目，按其差额，借记“资本公积——股本溢价”科目，股本溢价不足冲减的，应依次冲减盈余公积和未分配利润。</w:t>
      </w:r>
    </w:p>
    <w:p w14:paraId="55B639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6.</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企业购进的货物已验收入库，但尚未收到增值税扣税凭证，应按货物清单或相关合同协议上的价格暂估入账，并将未来可抵扣的增值税税额记入“应交税费——待认证进项税额”。 （ ）</w:t>
      </w:r>
    </w:p>
    <w:p w14:paraId="17098C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14:paraId="4CC5AA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企业购进的货物已验收入库，但尚未收到增值税扣税凭证并未付款的，应在月末按货物清单或相关合同协议上的价格暂估入账，不需要将增值税的进项税额暂估入账。故本题表述错误。</w:t>
      </w:r>
    </w:p>
    <w:p w14:paraId="735B08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7.</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企业转销无法支付的应付账款时，应按其账面余额冲减管理费用。 （ ）</w:t>
      </w:r>
    </w:p>
    <w:p w14:paraId="6BAE2C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14:paraId="637518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企业对于确实无法支付的应付账款应予以转销，按其账面余额计入营业外收入，借记“应付账款”科目，贷记“营业外收入”科目，而不是冲减管理费用。</w:t>
      </w:r>
    </w:p>
    <w:p w14:paraId="71BD4C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8.</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开发支出”项目应当根据“研发支出”科目所属的“资本化支出”明细科目期末余额填列。（ ）</w:t>
      </w:r>
    </w:p>
    <w:p w14:paraId="3907FB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14:paraId="63A439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p>
    <w:p w14:paraId="438A35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9.</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政府决算报告是反映政府整体财务状况、运行情况和财政中长期可持续性的文件。 （ ）</w:t>
      </w:r>
    </w:p>
    <w:p w14:paraId="683ABE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14:paraId="6D6156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政府决算报告是综合反映政府会计主体年度预算收支执行结果的文件。政府综合财务报告是反映政府整体财务状况、运行情况和财政中长期可持续性的文件。</w:t>
      </w:r>
    </w:p>
    <w:p w14:paraId="5046CE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10.</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企业日常活动发生的不能计入特定核算对象的支出，应计入发生当期的期间费用。 （ ）</w:t>
      </w:r>
    </w:p>
    <w:p w14:paraId="1CD9B5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14:paraId="1A297B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p>
    <w:p w14:paraId="360AA82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eastAsia" w:ascii="微软雅黑" w:hAnsi="微软雅黑" w:eastAsia="微软雅黑" w:cs="微软雅黑"/>
          <w:b/>
          <w:bCs/>
          <w:i w:val="0"/>
          <w:iCs w:val="0"/>
          <w:caps w:val="0"/>
          <w:color w:val="44484D"/>
          <w:spacing w:val="0"/>
          <w:sz w:val="21"/>
          <w:szCs w:val="21"/>
          <w:shd w:val="clear" w:fill="FFFFFF"/>
          <w:lang w:val="en-US" w:eastAsia="zh-CN"/>
        </w:rPr>
      </w:pPr>
      <w:r>
        <w:rPr>
          <w:rFonts w:hint="eastAsia" w:ascii="微软雅黑" w:hAnsi="微软雅黑" w:eastAsia="微软雅黑" w:cs="微软雅黑"/>
          <w:b/>
          <w:bCs/>
          <w:i w:val="0"/>
          <w:iCs w:val="0"/>
          <w:caps w:val="0"/>
          <w:color w:val="44484D"/>
          <w:spacing w:val="0"/>
          <w:sz w:val="21"/>
          <w:szCs w:val="21"/>
          <w:shd w:val="clear" w:fill="FFFFFF"/>
          <w:lang w:val="en-US" w:eastAsia="zh-CN"/>
        </w:rPr>
        <w:t>四不定项选择题</w:t>
      </w:r>
    </w:p>
    <w:p w14:paraId="6903EE2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eastAsia" w:ascii="微软雅黑" w:hAnsi="微软雅黑" w:eastAsia="微软雅黑" w:cs="微软雅黑"/>
          <w:i w:val="0"/>
          <w:iCs w:val="0"/>
          <w:caps w:val="0"/>
          <w:color w:val="44484D"/>
          <w:spacing w:val="0"/>
          <w:sz w:val="21"/>
          <w:szCs w:val="21"/>
          <w:shd w:val="clear" w:fill="FFFFFF"/>
        </w:rPr>
      </w:pPr>
      <w:r>
        <w:rPr>
          <w:rFonts w:ascii="微软雅黑" w:hAnsi="微软雅黑" w:eastAsia="微软雅黑" w:cs="微软雅黑"/>
          <w:i w:val="0"/>
          <w:iCs w:val="0"/>
          <w:caps w:val="0"/>
          <w:color w:val="44484D"/>
          <w:spacing w:val="0"/>
          <w:sz w:val="21"/>
          <w:szCs w:val="21"/>
          <w:shd w:val="clear" w:fill="FFFFFF"/>
        </w:rPr>
        <w:t>甲公司为增值税一般纳税人，适用的增值税税率为13%，销售商品业务均属于某一时点履行的履约义务，确认收入的同时结转成本，M 商品的实际成本为每件800 元。2026 年4 月份甲公司发生有关经济业务如下：</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（1）4 月1 日，向乙公司销售M 商品200 件，每件商品的价格为1 000 元，开具的增值税专用发票注明的售价为200 000 元，增值税税额为26 000 元，甲公司代垫运费2 000 元，取得增值税专用发票上注明增值税税额为180 元。全部款项于4 月5 日已通过银行转账结算。</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（2）4 月6 日，委托丙公司销售M 商品500 件，并于当日发出。按照双方协议约定，丙公司应按照每件1 000 元对外销售商品，并按照售价（不含税）的10% 收取手续费，该批商品的实际成本为400000 元。丙公司不承担包销责任，没有售出的商品须退回给甲公司。4 月25 日，甲公司收到丙公司开出</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的代销清单，实际销售M 商品250 件（符合收入确认条），同时收到丙公司收取手续费的增值税专用发票，其中代销手续费25 000 元，增值税税额1 500 元。</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（3）4 月30 日，因商品质量出现问题，收到乙公司退回4 月1 日购买的M 商品30 件，甲公司同意退货并于当日支付了退货款，向乙公司开具的增值税专用发票（红字）注明的价款为30 000 元，增值税税额3 900 元。</w:t>
      </w:r>
      <w:r>
        <w:rPr>
          <w:rFonts w:hint="eastAsia" w:ascii="微软雅黑" w:hAnsi="微软雅黑" w:eastAsia="微软雅黑" w:cs="微软雅黑"/>
          <w:i w:val="0"/>
          <w:iCs w:val="0"/>
          <w:caps w:val="0"/>
          <w:color w:val="44484D"/>
          <w:spacing w:val="0"/>
          <w:sz w:val="21"/>
          <w:szCs w:val="21"/>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要求：根据上述资料，不考虑其他因素，分析回答下列小题。</w:t>
      </w:r>
    </w:p>
    <w:p w14:paraId="04580D1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根据资料（1），下列各项中，关于甲公司销售M 商品相关会计科目处理的表述正确的是（ ）。</w:t>
      </w:r>
    </w:p>
    <w:p w14:paraId="2D76FC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4 月1 日，应贷记“主营业务收入”科目200 000 元</w:t>
      </w:r>
    </w:p>
    <w:p w14:paraId="44FAB7D2">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4 月5 日，应借记“银行存款”科目228 180 元</w:t>
      </w:r>
    </w:p>
    <w:p w14:paraId="65648DCB">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4 月1 日，应借记“销售费用”科目2 000 元</w:t>
      </w:r>
    </w:p>
    <w:p w14:paraId="1DA5FD7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4 月1 日，应借记“主营业务成本”科目160 000 元</w:t>
      </w:r>
    </w:p>
    <w:p w14:paraId="7D17A36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ABD相关账务处理如下：</w:t>
      </w:r>
      <w:r>
        <w:rPr>
          <w:rFonts w:hint="eastAsia" w:ascii="微软雅黑" w:hAnsi="微软雅黑" w:eastAsia="微软雅黑" w:cs="微软雅黑"/>
          <w:b/>
          <w:bCs/>
          <w:i w:val="0"/>
          <w:iCs w:val="0"/>
          <w:caps w:val="0"/>
          <w:color w:val="44484D"/>
          <w:spacing w:val="0"/>
          <w:sz w:val="21"/>
          <w:szCs w:val="21"/>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4 月1 日，确认收入。</w:t>
      </w:r>
      <w:r>
        <w:rPr>
          <w:rFonts w:hint="eastAsia" w:ascii="微软雅黑" w:hAnsi="微软雅黑" w:eastAsia="微软雅黑" w:cs="微软雅黑"/>
          <w:b/>
          <w:bCs/>
          <w:i w:val="0"/>
          <w:iCs w:val="0"/>
          <w:caps w:val="0"/>
          <w:color w:val="44484D"/>
          <w:spacing w:val="0"/>
          <w:sz w:val="21"/>
          <w:szCs w:val="21"/>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借：应收账款　　　　　　　　　　　　 226 000</w:t>
      </w:r>
      <w:r>
        <w:rPr>
          <w:rFonts w:hint="eastAsia" w:ascii="微软雅黑" w:hAnsi="微软雅黑" w:eastAsia="微软雅黑" w:cs="微软雅黑"/>
          <w:b/>
          <w:bCs/>
          <w:i w:val="0"/>
          <w:iCs w:val="0"/>
          <w:caps w:val="0"/>
          <w:color w:val="44484D"/>
          <w:spacing w:val="0"/>
          <w:sz w:val="21"/>
          <w:szCs w:val="21"/>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贷：主营业务收入　　　　　　　　 　　 200 000</w:t>
      </w:r>
      <w:r>
        <w:rPr>
          <w:rFonts w:hint="eastAsia" w:ascii="微软雅黑" w:hAnsi="微软雅黑" w:eastAsia="微软雅黑" w:cs="微软雅黑"/>
          <w:b/>
          <w:bCs/>
          <w:i w:val="0"/>
          <w:iCs w:val="0"/>
          <w:caps w:val="0"/>
          <w:color w:val="44484D"/>
          <w:spacing w:val="0"/>
          <w:sz w:val="21"/>
          <w:szCs w:val="21"/>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应交税费——应交增值税（销项税额） 26 000</w:t>
      </w:r>
      <w:r>
        <w:rPr>
          <w:rFonts w:hint="eastAsia" w:ascii="微软雅黑" w:hAnsi="微软雅黑" w:eastAsia="微软雅黑" w:cs="微软雅黑"/>
          <w:b/>
          <w:bCs/>
          <w:i w:val="0"/>
          <w:iCs w:val="0"/>
          <w:caps w:val="0"/>
          <w:color w:val="44484D"/>
          <w:spacing w:val="0"/>
          <w:sz w:val="21"/>
          <w:szCs w:val="21"/>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借：主营业务成本　　　　　　　　　　 160 000</w:t>
      </w:r>
      <w:r>
        <w:rPr>
          <w:rFonts w:hint="eastAsia" w:ascii="微软雅黑" w:hAnsi="微软雅黑" w:eastAsia="微软雅黑" w:cs="微软雅黑"/>
          <w:b/>
          <w:bCs/>
          <w:i w:val="0"/>
          <w:iCs w:val="0"/>
          <w:caps w:val="0"/>
          <w:color w:val="44484D"/>
          <w:spacing w:val="0"/>
          <w:sz w:val="21"/>
          <w:szCs w:val="21"/>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贷：库存商品　　　　　　　　　　　　 160 000</w:t>
      </w:r>
      <w:r>
        <w:rPr>
          <w:rFonts w:hint="eastAsia" w:ascii="微软雅黑" w:hAnsi="微软雅黑" w:eastAsia="微软雅黑" w:cs="微软雅黑"/>
          <w:b/>
          <w:bCs/>
          <w:i w:val="0"/>
          <w:iCs w:val="0"/>
          <w:caps w:val="0"/>
          <w:color w:val="44484D"/>
          <w:spacing w:val="0"/>
          <w:sz w:val="21"/>
          <w:szCs w:val="21"/>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代垫运费。</w:t>
      </w:r>
      <w:r>
        <w:rPr>
          <w:rFonts w:hint="eastAsia" w:ascii="微软雅黑" w:hAnsi="微软雅黑" w:eastAsia="微软雅黑" w:cs="微软雅黑"/>
          <w:b/>
          <w:bCs/>
          <w:i w:val="0"/>
          <w:iCs w:val="0"/>
          <w:caps w:val="0"/>
          <w:color w:val="44484D"/>
          <w:spacing w:val="0"/>
          <w:sz w:val="21"/>
          <w:szCs w:val="21"/>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借：应收账款　　　　　　　　　　　　　 2 180</w:t>
      </w:r>
      <w:r>
        <w:rPr>
          <w:rFonts w:hint="eastAsia" w:ascii="微软雅黑" w:hAnsi="微软雅黑" w:eastAsia="微软雅黑" w:cs="微软雅黑"/>
          <w:b/>
          <w:bCs/>
          <w:i w:val="0"/>
          <w:iCs w:val="0"/>
          <w:caps w:val="0"/>
          <w:color w:val="44484D"/>
          <w:spacing w:val="0"/>
          <w:sz w:val="21"/>
          <w:szCs w:val="21"/>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贷：银行存款　　　　　　　　　　　　　 2 180</w:t>
      </w:r>
      <w:r>
        <w:rPr>
          <w:rFonts w:hint="eastAsia" w:ascii="微软雅黑" w:hAnsi="微软雅黑" w:eastAsia="微软雅黑" w:cs="微软雅黑"/>
          <w:b/>
          <w:bCs/>
          <w:i w:val="0"/>
          <w:iCs w:val="0"/>
          <w:caps w:val="0"/>
          <w:color w:val="44484D"/>
          <w:spacing w:val="0"/>
          <w:sz w:val="21"/>
          <w:szCs w:val="21"/>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4 月5 日，收到款项。</w:t>
      </w:r>
      <w:r>
        <w:rPr>
          <w:rFonts w:hint="eastAsia" w:ascii="微软雅黑" w:hAnsi="微软雅黑" w:eastAsia="微软雅黑" w:cs="微软雅黑"/>
          <w:b/>
          <w:bCs/>
          <w:i w:val="0"/>
          <w:iCs w:val="0"/>
          <w:caps w:val="0"/>
          <w:color w:val="44484D"/>
          <w:spacing w:val="0"/>
          <w:sz w:val="21"/>
          <w:szCs w:val="21"/>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借：银行存款　　　　　　　　　　　　 228 180</w:t>
      </w:r>
      <w:r>
        <w:rPr>
          <w:rFonts w:hint="eastAsia" w:ascii="微软雅黑" w:hAnsi="微软雅黑" w:eastAsia="微软雅黑" w:cs="微软雅黑"/>
          <w:b/>
          <w:bCs/>
          <w:i w:val="0"/>
          <w:iCs w:val="0"/>
          <w:caps w:val="0"/>
          <w:color w:val="44484D"/>
          <w:spacing w:val="0"/>
          <w:sz w:val="21"/>
          <w:szCs w:val="21"/>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贷：应收账款　　　　　　　　　　　　 228 180</w:t>
      </w:r>
    </w:p>
    <w:p w14:paraId="783DD5F8">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根据资料（2），下列各项中，关于甲公司4 月6 日发出M 商品的相关会计科目处理正确的是（ ）。</w:t>
      </w:r>
    </w:p>
    <w:p w14:paraId="0B940F16">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借记“发出商品”科目400 000 元</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贷记“库存商品”科目400 000 元</w:t>
      </w:r>
    </w:p>
    <w:p w14:paraId="02C22B5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贷记“主营业务收入”科目500 000 元</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借记“主营业务成本”科目400 000</w:t>
      </w:r>
    </w:p>
    <w:p w14:paraId="6128309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AB相关账务处理如下：</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借：发出商品　　　　　　　　　　　　 400 000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贷：库存商品　　　　　　　　　　　　 400 000</w:t>
      </w:r>
    </w:p>
    <w:p w14:paraId="359113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根据资料（2），下列各项中，关于甲公司4 月25 日收到代销清单时会计科目处理的表述正确的是（ ）。</w:t>
      </w:r>
    </w:p>
    <w:p w14:paraId="349065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确认代销手续费时，借记“管理费用”科目25 000 元</w:t>
      </w:r>
    </w:p>
    <w:p w14:paraId="3E06CE2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确认收入时，贷记“主营业务收入”科目250 000 元</w:t>
      </w:r>
    </w:p>
    <w:p w14:paraId="5536637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结转成本时，借记“主营业务成本”科目200 000 元</w:t>
      </w:r>
    </w:p>
    <w:p w14:paraId="33F1ACC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确认代销手续费时，借记“应交税费——应交增值税（进项税额）”科目1 500 元</w:t>
      </w:r>
    </w:p>
    <w:p w14:paraId="5EDAB04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BCD相关账务处理如下：</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借：应收账款　　　　　　　　　　　　 282 500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贷：主营业务收入　　　　　　　　　　 250 000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应交税费——应交增值税（销项税额） 32 500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借：主营业务成本　　　　　　　　　　 200 000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贷：发出商品　　　　　　　　　　　　 200 000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借：销售费用——代销手续费　　　　　 25 000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应交税费——应交增值税（进项税额） 1 500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贷：应收账款　　　　　　　　　　　　 26 500</w:t>
      </w:r>
    </w:p>
    <w:p w14:paraId="0A0482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根据期初资料和资料（3），关于甲公司同意退货的会计处理结果表述正确的是（ ）。</w:t>
      </w:r>
    </w:p>
    <w:p w14:paraId="52B9A1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主营业务成本减少24 000 元</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主营业务收入减少30 000 元</w:t>
      </w:r>
    </w:p>
    <w:p w14:paraId="14C85C9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银行存款减少30 000 元</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发出商品增加24 000 元</w:t>
      </w:r>
    </w:p>
    <w:p w14:paraId="3B38836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AB相关账务处理为：</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借：主营业务收入　　　　　　　　　　 30 000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应交税费——应交增值税（销项税额） 3 900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贷：银行存款　　　　　　　　　　　　 33 900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借：库存商品　　　　　　　　　　　　 24 000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贷：主营业务成本　　　　　　　　　　 24 000</w:t>
      </w:r>
    </w:p>
    <w:p w14:paraId="2F9780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5.根据期初资料，资料（1）至（3），下列各项中，上述业务对甲公司2026 年4 月份利润表影响金额表述正确的是（ ）。</w:t>
      </w:r>
    </w:p>
    <w:p w14:paraId="7D8E4D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利润总额增加59 000 元</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营业收入增加420 000 元</w:t>
      </w:r>
    </w:p>
    <w:p w14:paraId="4E1D475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营业成本增加336 000 元</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营业利润增加84 000 元</w:t>
      </w:r>
    </w:p>
    <w:p w14:paraId="14B8FD76">
      <w:pPr>
        <w:keepNext w:val="0"/>
        <w:keepLines w:val="0"/>
        <w:widowControl/>
        <w:suppressLineNumbers w:val="0"/>
        <w:spacing w:before="0" w:beforeAutospacing="0" w:after="0" w:afterAutospacing="0"/>
        <w:ind w:left="0" w:right="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ABC营业收入＝ 200 000 ＋ 250 000 － 30 000 ＝ 420 000（元），营业成本＝ 160 000＋ 200 000 － 24 000 ＝ 336 000（元），因不涉及营业外收支，故营业利润＝利润总额＝ 420 000 －336 000 － 25 000 ＝ 59 000（元）。</w:t>
      </w:r>
    </w:p>
    <w:p w14:paraId="2D82C3B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rPr>
      </w:pPr>
      <w:r>
        <w:rPr>
          <w:rFonts w:ascii="微软雅黑" w:hAnsi="微软雅黑" w:eastAsia="微软雅黑" w:cs="微软雅黑"/>
          <w:i w:val="0"/>
          <w:iCs w:val="0"/>
          <w:caps w:val="0"/>
          <w:color w:val="44484D"/>
          <w:spacing w:val="0"/>
          <w:sz w:val="21"/>
          <w:szCs w:val="21"/>
          <w:shd w:val="clear" w:fill="FFFFFF"/>
        </w:rPr>
        <w:t>甲公司为增值税一般纳税人，增值税税率为13%。2025 年12 月1 日，甲公司“应收账款”科目借方余额为500 万元，“坏账准备”科目贷方余额为25 万元，公司通过对应收款项的信用风险特征进行分析，确定计提坏账准备的比例为期末应收账款余额的5%。12 月，甲公司发生如下相关业务：</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（1）12 月5 日，向乙公司赊销商品一批，按商品价目表标明的价格计算的金额为1 000 万元（不含增值税），由于是成批销售，甲公司给予乙公司10% 的商业折扣。</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（2）12 月9 日，某客户破产，根据清算程序，有应收账款40 万元不能收回，确认为坏账。</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（3）12 月11 日，收到乙公司前欠的销货款500 万元，存入银行。</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（4）12 月21 日，收到2024 年已转销为坏账的应收账款10 万元，存入银行。</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（5）12 月30 日，向丙公司销售商品一批，增值税专用发票上注明的售价为100 万元，增值税额为13 万元。截至12 月31 日，丙公司尚未付款。</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要求：根据上述资料，不考虑其他因素, 分析回答下列小题。（答案中的金额单位用万元表示。）</w:t>
      </w:r>
    </w:p>
    <w:p w14:paraId="0492B7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根据资料（1），12 月5 日发生的经济业务中应收账款的入账价值为（ ）万元。</w:t>
      </w:r>
    </w:p>
    <w:p w14:paraId="6C08EA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1 000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1 130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900</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1 017</w:t>
      </w:r>
    </w:p>
    <w:p w14:paraId="04D4D7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D12 月5 日发生的经济业务中应收账款的入账价值＝ 1 000×（1 － 10%）×（1＋ 13%）＝ 1 017（万元）。</w:t>
      </w:r>
    </w:p>
    <w:p w14:paraId="3E5F8F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根据资料（5），12 月30 日发生的经济业务中应收账款的入账价值为（ ）万元。</w:t>
      </w:r>
    </w:p>
    <w:p w14:paraId="15799F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100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90</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113</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87</w:t>
      </w:r>
    </w:p>
    <w:p w14:paraId="5A0C0A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C12 月30 日发生的经济业务中应收账款的入账价值＝ 100 ＋ 13 ＝ 113（万元）。</w:t>
      </w:r>
    </w:p>
    <w:p w14:paraId="2F44ADA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根据资料（1）至（3），甲公司的处理正确的是（ ）。</w:t>
      </w:r>
    </w:p>
    <w:p w14:paraId="654361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资料（1）应确认收入1 000 万元</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资料（1）应确认收入900 万元</w:t>
      </w:r>
    </w:p>
    <w:p w14:paraId="1230FA7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资料（2）应贷记坏账准备40 万元</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资料（3）应确认应收账款500 万元</w:t>
      </w:r>
    </w:p>
    <w:p w14:paraId="0EBA3C5C">
      <w:pPr>
        <w:keepNext w:val="0"/>
        <w:keepLines w:val="0"/>
        <w:widowControl/>
        <w:suppressLineNumbers w:val="0"/>
        <w:spacing w:before="0" w:beforeAutospacing="0" w:after="0" w:afterAutospacing="0"/>
        <w:ind w:left="0" w:right="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B资料（1），应该按扣除商业折扣的金额入账，应确认收入1 000×（1 － 10%）＝900（万元）；资料（2），确认坏账损失时，应该借记“坏账准备”，贷记“应收账款”；资料（3），借记“银行存款”，贷记“应收账款”，即冲减应收账款500 万元。</w:t>
      </w:r>
    </w:p>
    <w:p w14:paraId="32FF08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根据资料（4）和资料（5），甲公司的处理正确的是（ ）。</w:t>
      </w:r>
    </w:p>
    <w:p w14:paraId="708026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资料（4）应借记银行存款10 万元</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资料（4）应贷记信用减值损失10 万元</w:t>
      </w:r>
    </w:p>
    <w:p w14:paraId="005DDE1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资料（5）应确认收入100 万元</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资料（5）应确认应收账款113 万元</w:t>
      </w:r>
    </w:p>
    <w:p w14:paraId="2D1BC6D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ABCD本题详细分录如下：资料（1）</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借：应收账款 1 017</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贷：主营业务收入 900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应交税费——应交增值税（销项税额） 117</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资料（2）</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借：坏账准备 40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贷：应收账款 40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资料（3）</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借：银行存款 500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贷：应收账款 500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资料（4）</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借：应收账款 10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贷：坏账准备 10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借：坏账准备 10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贷：信用减值损失 10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借：银行存款 10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贷：应收账款 10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资料（5）</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借：应收账款 113</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贷：主营业务收入 100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应交税费——应交增值税（销项税额） 13</w:t>
      </w:r>
    </w:p>
    <w:p w14:paraId="7B314A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5.本期应计提坏账准备的金额为（ ）万元。</w:t>
      </w:r>
    </w:p>
    <w:p w14:paraId="3A1F11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56.5</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59.5</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101.5</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69.5</w:t>
      </w:r>
    </w:p>
    <w:p w14:paraId="4AB168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D本期应计提坏账准备＝应收账款（500 ＋ 1 017 － 40 － 500 ＋ 113）×5% －坏账准备（25 － 40）＝ 69.5（万元）。</w:t>
      </w:r>
    </w:p>
    <w:p w14:paraId="3A7170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sz w:val="21"/>
          <w:szCs w:val="21"/>
          <w:shd w:val="clear" w:fill="FFFFFF"/>
        </w:rPr>
      </w:pPr>
      <w:r>
        <w:rPr>
          <w:rFonts w:ascii="微软雅黑" w:hAnsi="微软雅黑" w:eastAsia="微软雅黑" w:cs="微软雅黑"/>
          <w:i w:val="0"/>
          <w:iCs w:val="0"/>
          <w:caps w:val="0"/>
          <w:color w:val="44484D"/>
          <w:spacing w:val="0"/>
          <w:sz w:val="21"/>
          <w:szCs w:val="21"/>
          <w:shd w:val="clear" w:fill="FFFFFF"/>
        </w:rPr>
        <w:t>某企业为增值税一般纳税人，2025 年11 月发生固定资产相关业务如下：</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（1）1 日，对仓库进行改造，该仓库账面价值700 万元（包括不单独计价的制冷系统账面价值9 万元），其中：仓库原值900 万元，累计折旧200 万元（包含本月折旧5 万元）。改造中拆除旧的制冷系统，该系统报废且无残值收入，同时更换新的制冷系统一套，购买价款80 万元、增值税税额10.4 万元；发生安装费2 万元、增值税0.18 万元。上述全部款项已付，并取得可抵扣的增值税专用发票。</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（2）11 日，以银行存款支付与仓库改造相关的其他支出29 万元，取得增值税专用发票上注明的增值税税额为3.77 万元。</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（3）26 日，仓库改造完工达到预定可使用状态，预计尚可使用年限20 年，预计净残值10 万元，采用年限平均法计提折旧。</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要求：根据上述资料，不考虑其他因素，分析回答下列小题。（答案中的金额单位用万元表示）</w:t>
      </w:r>
    </w:p>
    <w:p w14:paraId="35EDF6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根据资料（1），下列各项中，关于仓库改造的会计处理表述正确的是（ ）。</w:t>
      </w:r>
    </w:p>
    <w:p w14:paraId="2F58C8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借记“在建工程”科目700 万元</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借记“累计折旧”科目195 万元</w:t>
      </w:r>
    </w:p>
    <w:p w14:paraId="10DA1EF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借记“累计折旧”科目200 万元</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贷记“固定资产”科目900 万元</w:t>
      </w:r>
    </w:p>
    <w:p w14:paraId="34CC901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ACD相关账务处理为：</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借：在建工程　　　　　　　　　　　　 700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累计折旧　　　　　　　　　　　　 200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贷：固定资产　　　　　　　　　　　　 900</w:t>
      </w:r>
    </w:p>
    <w:p w14:paraId="112671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根据资料（1），下列各项中，关于拆除旧制冷系统的会计处理表述正确的是（ ）。</w:t>
      </w:r>
    </w:p>
    <w:p w14:paraId="3C4672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贷记“工程物资”科目9 万元</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贷记“在建工程”科目9 万元</w:t>
      </w:r>
    </w:p>
    <w:p w14:paraId="6EEAAA7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借记“资产处置损益”科目9 万元</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借记“营业外支出”科目9 万元</w:t>
      </w:r>
    </w:p>
    <w:p w14:paraId="317D324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BD相关账务处理为：</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借：营业外支出　　　　　　　　　　　　 9</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贷：在建工程　　　　　　　　　　　　　 9</w:t>
      </w:r>
    </w:p>
    <w:p w14:paraId="01425A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根据资料（1），下列各项中，购入并安装新制冷系统的会计处理正确的是（ ）。</w:t>
      </w:r>
    </w:p>
    <w:p w14:paraId="0C6CA8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支付安装费用时： 借：在建工程 2 应交税费——应交增值税（进项税额） 0.18 贷：银行存款 2.18</w:t>
      </w:r>
    </w:p>
    <w:p w14:paraId="6594C36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领用安装时： 借：在建工程 80 贷：工程物资 80</w:t>
      </w:r>
    </w:p>
    <w:p w14:paraId="4C78587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购入时： 借：工程物资　　　　　　　　　　　　　 80 应交税费——应交增值税（进项税额） 10.4 贷：银行存款　　　　　　　　　　　　 90.4</w:t>
      </w:r>
    </w:p>
    <w:p w14:paraId="6CC79EFD">
      <w:pPr>
        <w:keepNext w:val="0"/>
        <w:keepLines w:val="0"/>
        <w:widowControl/>
        <w:numPr>
          <w:ilvl w:val="0"/>
          <w:numId w:val="3"/>
        </w:numPr>
        <w:suppressLineNumbers w:val="0"/>
        <w:spacing w:before="0" w:beforeAutospacing="0" w:after="0" w:afterAutospacing="0"/>
        <w:ind w:left="0" w:leftChars="0" w:right="0" w:firstLine="0" w:firstLineChars="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支付安装费用时： 借：管理费用　　　　　　　　　 　　　　 2 应交税费——应交增值税（进项税额） 0.18 贷：银行存款　　　　　　　　　　　　 2.18</w:t>
      </w:r>
    </w:p>
    <w:p w14:paraId="606B1DF9">
      <w:pPr>
        <w:keepNext w:val="0"/>
        <w:keepLines w:val="0"/>
        <w:widowControl/>
        <w:numPr>
          <w:numId w:val="0"/>
        </w:numPr>
        <w:suppressLineNumbers w:val="0"/>
        <w:spacing w:before="0" w:beforeAutospacing="0" w:after="0" w:afterAutospacing="0"/>
        <w:ind w:leftChars="0" w:right="0" w:rightChars="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ABC购入时：</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借：工程物资　　　　　　　　　　　　　 80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应交税费——应交增值税（进项税额） 10.4</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贷：银行存款　　　　　　　　　　　　 90.4</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领用安装时：</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借：在建工程　　　　　　　　　　　　　 80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贷：工程物资　　　　　　　　　　　　　 80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支付安装费用：</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借：在建工程　　　　　　 　　　　　　　 2</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应交税费——应交增值税（进项税额） 0.18</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贷：银行存款　　　　　　　　　　　　 2.18</w:t>
      </w:r>
    </w:p>
    <w:p w14:paraId="192ABF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根据资料（2），下列各项中，支付其他改造支出的会计处理表述正确的是（ ）。</w:t>
      </w:r>
    </w:p>
    <w:p w14:paraId="3ACF21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借记“在建工程”科目29 万元</w:t>
      </w:r>
    </w:p>
    <w:p w14:paraId="3FC9DB5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借记“管理费用”科目29 万元</w:t>
      </w:r>
    </w:p>
    <w:p w14:paraId="0A0049D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借记“制造费用”科目32.77 万元</w:t>
      </w:r>
    </w:p>
    <w:p w14:paraId="21F4175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借记“应交税费——应交增值税（进项税额）”科目3.77 万元</w:t>
      </w:r>
    </w:p>
    <w:p w14:paraId="51C34F9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AD相关账务处理为：</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借：在建工程　　　　　　　　　　　　　 29</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应交税费——应交增值税（进项税额） 3.77</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　 贷：银行存款　　　　　　　　　 　　 32.77</w:t>
      </w:r>
    </w:p>
    <w:p w14:paraId="093B13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5.</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根据资料（1）至（3），关于该仓库的会计处理表述正确的是（ ）。</w:t>
      </w:r>
    </w:p>
    <w:p w14:paraId="2B8CA1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结转仓库完工成本802 万元</w:t>
      </w:r>
    </w:p>
    <w:p w14:paraId="3389CB6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2025 年12 月应计提的折旧金额为2.875 万元</w:t>
      </w:r>
    </w:p>
    <w:p w14:paraId="5B35B73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2025 年11 月应计提的折旧金额为5 万元</w:t>
      </w:r>
    </w:p>
    <w:p w14:paraId="5B2AAC72">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2025 年12 月应计提的折旧金额为3.3 万元</w:t>
      </w:r>
    </w:p>
    <w:p w14:paraId="6458023B">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AD结转完工仓库的成本＝ 700 － 9 ＋ 80 ＋ 2 ＋ 29 ＝ 802（万元），固定资产当月增加下月开始计提折旧，2025 年12 月计提折旧金额＝（802 － 10）/20/12 ＝ 3.3（万元）。</w:t>
      </w:r>
      <w:bookmarkStart w:id="0" w:name="_GoBack"/>
      <w:bookmarkEnd w:id="0"/>
    </w:p>
    <w:p w14:paraId="1A60D84F">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57A6F9D5">
      <w:pPr>
        <w:keepNext w:val="0"/>
        <w:keepLines w:val="0"/>
        <w:widowControl/>
        <w:numPr>
          <w:numId w:val="0"/>
        </w:numPr>
        <w:suppressLineNumbers w:val="0"/>
        <w:spacing w:before="0" w:beforeAutospacing="0" w:after="0" w:afterAutospacing="0"/>
        <w:ind w:leftChars="0" w:right="0" w:rightChars="0"/>
        <w:jc w:val="left"/>
        <w:rPr>
          <w:rFonts w:hint="eastAsia" w:ascii="微软雅黑" w:hAnsi="微软雅黑" w:eastAsia="微软雅黑" w:cs="微软雅黑"/>
          <w:b/>
          <w:bCs/>
          <w:i w:val="0"/>
          <w:iCs w:val="0"/>
          <w:caps w:val="0"/>
          <w:color w:val="44484D"/>
          <w:spacing w:val="0"/>
          <w:sz w:val="21"/>
          <w:szCs w:val="21"/>
          <w:shd w:val="clear" w:fill="FFFFFF"/>
          <w:lang w:val="en-US" w:eastAsia="zh-CN"/>
        </w:rPr>
      </w:pPr>
    </w:p>
    <w:p w14:paraId="03A90EC8">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1FB35659">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0E447B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161582B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lang w:val="en-US" w:eastAsia="zh-CN"/>
        </w:rPr>
      </w:pPr>
    </w:p>
    <w:p w14:paraId="7C89D920">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490373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063F8B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4357C33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lang w:val="en-US" w:eastAsia="zh-CN"/>
        </w:rPr>
      </w:pPr>
    </w:p>
    <w:p w14:paraId="52D0C77D">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5A8C93C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62E12D2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微软雅黑" w:hAnsi="微软雅黑" w:eastAsia="微软雅黑" w:cs="微软雅黑"/>
          <w:i w:val="0"/>
          <w:iCs w:val="0"/>
          <w:caps w:val="0"/>
          <w:color w:val="666666"/>
          <w:spacing w:val="0"/>
          <w:kern w:val="0"/>
          <w:sz w:val="24"/>
          <w:szCs w:val="24"/>
          <w:shd w:val="clear" w:fill="FFFFFF"/>
          <w:lang w:val="en-US" w:eastAsia="zh-CN" w:bidi="ar"/>
        </w:rPr>
      </w:pPr>
    </w:p>
    <w:p w14:paraId="0702D2C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lang w:val="en-US" w:eastAsia="zh-CN"/>
        </w:rPr>
      </w:pPr>
    </w:p>
    <w:p w14:paraId="3979643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46BC162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1848F8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5AEF4F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7034E3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4EB49C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5DD8B4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686F98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1D3081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14:paraId="49F27E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45BB6D92">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04AE5D1B">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13FC5069">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2DC1B2D9">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46F20A34">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01000AD4">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17C44967">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15ECCE8F">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4AE3360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3CA24B74">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0C586E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60F39C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14:paraId="3F1F80F6">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64DE6B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595D10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ind w:left="0" w:right="0" w:firstLine="0"/>
        <w:jc w:val="left"/>
        <w:rPr>
          <w:rFonts w:hint="default" w:ascii="微软雅黑" w:hAnsi="微软雅黑" w:eastAsia="微软雅黑" w:cs="微软雅黑"/>
          <w:i w:val="0"/>
          <w:iCs w:val="0"/>
          <w:caps w:val="0"/>
          <w:color w:val="44484D"/>
          <w:spacing w:val="0"/>
          <w:kern w:val="0"/>
          <w:sz w:val="21"/>
          <w:szCs w:val="21"/>
          <w:shd w:val="clear" w:fill="FFFFFF"/>
          <w:lang w:val="en-US" w:eastAsia="zh-CN" w:bidi="ar"/>
        </w:rPr>
      </w:pPr>
    </w:p>
    <w:p w14:paraId="452CA056">
      <w:pPr>
        <w:keepNext w:val="0"/>
        <w:keepLines w:val="0"/>
        <w:widowControl/>
        <w:suppressLineNumbers w:val="0"/>
        <w:pBdr>
          <w:top w:val="single" w:color="EDEEF0" w:sz="6" w:space="0"/>
          <w:left w:val="none" w:color="auto" w:sz="0" w:space="0"/>
          <w:bottom w:val="none" w:color="auto" w:sz="0" w:space="0"/>
          <w:right w:val="none" w:color="auto" w:sz="0" w:space="0"/>
        </w:pBdr>
        <w:shd w:val="clear" w:fill="FFFFFF"/>
        <w:spacing w:before="0" w:beforeAutospacing="0" w:after="0" w:afterAutospacing="0" w:line="750" w:lineRule="atLeast"/>
        <w:ind w:left="0" w:right="0" w:firstLine="0"/>
        <w:jc w:val="left"/>
        <w:rPr>
          <w:rFonts w:hint="eastAsia" w:ascii="微软雅黑" w:hAnsi="微软雅黑" w:eastAsia="微软雅黑" w:cs="微软雅黑"/>
          <w:i w:val="0"/>
          <w:iCs w:val="0"/>
          <w:caps w:val="0"/>
          <w:color w:val="717880"/>
          <w:spacing w:val="0"/>
          <w:sz w:val="21"/>
          <w:szCs w:val="21"/>
        </w:rPr>
      </w:pPr>
      <w:r>
        <w:rPr>
          <w:rFonts w:hint="eastAsia" w:ascii="微软雅黑" w:hAnsi="微软雅黑" w:eastAsia="微软雅黑" w:cs="微软雅黑"/>
          <w:i w:val="0"/>
          <w:iCs w:val="0"/>
          <w:caps w:val="0"/>
          <w:color w:val="333333"/>
          <w:spacing w:val="0"/>
          <w:kern w:val="0"/>
          <w:sz w:val="21"/>
          <w:szCs w:val="21"/>
          <w:u w:val="none"/>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21"/>
          <w:szCs w:val="21"/>
          <w:u w:val="none"/>
          <w:shd w:val="clear" w:fill="FFFFFF"/>
          <w:lang w:val="en-US" w:eastAsia="zh-CN" w:bidi="ar"/>
        </w:rPr>
        <w:instrText xml:space="preserve"> HYPERLINK "javascript:;" </w:instrText>
      </w:r>
      <w:r>
        <w:rPr>
          <w:rFonts w:hint="eastAsia" w:ascii="微软雅黑" w:hAnsi="微软雅黑" w:eastAsia="微软雅黑" w:cs="微软雅黑"/>
          <w:i w:val="0"/>
          <w:iCs w:val="0"/>
          <w:caps w:val="0"/>
          <w:color w:val="333333"/>
          <w:spacing w:val="0"/>
          <w:kern w:val="0"/>
          <w:sz w:val="21"/>
          <w:szCs w:val="21"/>
          <w:u w:val="none"/>
          <w:shd w:val="clear" w:fill="FFFFFF"/>
          <w:lang w:val="en-US" w:eastAsia="zh-CN" w:bidi="ar"/>
        </w:rPr>
        <w:fldChar w:fldCharType="separate"/>
      </w:r>
      <w:r>
        <w:rPr>
          <w:rFonts w:hint="eastAsia" w:ascii="微软雅黑" w:hAnsi="微软雅黑" w:eastAsia="微软雅黑" w:cs="微软雅黑"/>
          <w:i w:val="0"/>
          <w:iCs w:val="0"/>
          <w:caps w:val="0"/>
          <w:color w:val="333333"/>
          <w:spacing w:val="0"/>
          <w:kern w:val="0"/>
          <w:sz w:val="21"/>
          <w:szCs w:val="21"/>
          <w:u w:val="none"/>
          <w:shd w:val="clear" w:fill="FFFFFF"/>
          <w:lang w:val="en-US" w:eastAsia="zh-CN" w:bidi="ar"/>
        </w:rPr>
        <w:fldChar w:fldCharType="end"/>
      </w:r>
    </w:p>
    <w:p w14:paraId="24D2BD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14:paraId="545AAF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16B73E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3504EBB2">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6463089B">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35A038DA">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688D89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48400BE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14:paraId="1CEB5B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6545390C">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70AF3C8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596EDE5C">
      <w:pPr>
        <w:numPr>
          <w:ilvl w:val="0"/>
          <w:numId w:val="0"/>
        </w:numPr>
        <w:rPr>
          <w:rFonts w:hint="default" w:ascii="微软雅黑" w:hAnsi="微软雅黑" w:eastAsia="微软雅黑" w:cs="微软雅黑"/>
          <w:i w:val="0"/>
          <w:iCs w:val="0"/>
          <w:caps w:val="0"/>
          <w:color w:val="44484D"/>
          <w:spacing w:val="0"/>
          <w:sz w:val="21"/>
          <w:szCs w:val="21"/>
          <w:shd w:val="clear" w:fill="FFFFFF"/>
          <w:lang w:val="en-US" w:eastAsia="zh-CN"/>
        </w:rPr>
      </w:pPr>
    </w:p>
    <w:sectPr>
      <w:pgSz w:w="11906" w:h="16838"/>
      <w:pgMar w:top="533" w:right="1800" w:bottom="53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716A13"/>
    <w:multiLevelType w:val="singleLevel"/>
    <w:tmpl w:val="07716A13"/>
    <w:lvl w:ilvl="0" w:tentative="0">
      <w:start w:val="2"/>
      <w:numFmt w:val="decimal"/>
      <w:lvlText w:val="%1."/>
      <w:lvlJc w:val="left"/>
      <w:pPr>
        <w:tabs>
          <w:tab w:val="left" w:pos="312"/>
        </w:tabs>
      </w:pPr>
    </w:lvl>
  </w:abstractNum>
  <w:abstractNum w:abstractNumId="1">
    <w:nsid w:val="4225DAFC"/>
    <w:multiLevelType w:val="singleLevel"/>
    <w:tmpl w:val="4225DAFC"/>
    <w:lvl w:ilvl="0" w:tentative="0">
      <w:start w:val="3"/>
      <w:numFmt w:val="upperLetter"/>
      <w:lvlText w:val="%1."/>
      <w:lvlJc w:val="left"/>
      <w:pPr>
        <w:tabs>
          <w:tab w:val="left" w:pos="312"/>
        </w:tabs>
      </w:pPr>
    </w:lvl>
  </w:abstractNum>
  <w:abstractNum w:abstractNumId="2">
    <w:nsid w:val="55706E1D"/>
    <w:multiLevelType w:val="singleLevel"/>
    <w:tmpl w:val="55706E1D"/>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684585"/>
    <w:rsid w:val="00FC031A"/>
    <w:rsid w:val="02580239"/>
    <w:rsid w:val="0317479F"/>
    <w:rsid w:val="04DB2141"/>
    <w:rsid w:val="04FF55BE"/>
    <w:rsid w:val="076A003C"/>
    <w:rsid w:val="0772396F"/>
    <w:rsid w:val="077558DF"/>
    <w:rsid w:val="08B61B14"/>
    <w:rsid w:val="0B52172B"/>
    <w:rsid w:val="0BFA6425"/>
    <w:rsid w:val="0C6F1180"/>
    <w:rsid w:val="0D2E75D6"/>
    <w:rsid w:val="0E2B1182"/>
    <w:rsid w:val="0F372ABE"/>
    <w:rsid w:val="0F586DE6"/>
    <w:rsid w:val="0F6C385E"/>
    <w:rsid w:val="0FD57666"/>
    <w:rsid w:val="0FF93D8E"/>
    <w:rsid w:val="100A6474"/>
    <w:rsid w:val="107709DB"/>
    <w:rsid w:val="11290EEC"/>
    <w:rsid w:val="12DF7353"/>
    <w:rsid w:val="149C12C1"/>
    <w:rsid w:val="14CD269F"/>
    <w:rsid w:val="156B1D8B"/>
    <w:rsid w:val="16554D81"/>
    <w:rsid w:val="17671DD7"/>
    <w:rsid w:val="1A1B00FF"/>
    <w:rsid w:val="1A455583"/>
    <w:rsid w:val="1BDF31F9"/>
    <w:rsid w:val="1CC64EE5"/>
    <w:rsid w:val="1D281713"/>
    <w:rsid w:val="1D5837E7"/>
    <w:rsid w:val="1DBC2360"/>
    <w:rsid w:val="1E3111C5"/>
    <w:rsid w:val="1F28533E"/>
    <w:rsid w:val="1F9A55BB"/>
    <w:rsid w:val="205158D3"/>
    <w:rsid w:val="217B1982"/>
    <w:rsid w:val="21CD1ECB"/>
    <w:rsid w:val="222E7B9B"/>
    <w:rsid w:val="22D66CE7"/>
    <w:rsid w:val="22F438BD"/>
    <w:rsid w:val="24300D5D"/>
    <w:rsid w:val="2472304A"/>
    <w:rsid w:val="264B2BBF"/>
    <w:rsid w:val="28183826"/>
    <w:rsid w:val="28D52579"/>
    <w:rsid w:val="297B506E"/>
    <w:rsid w:val="297E62B9"/>
    <w:rsid w:val="2A9860B3"/>
    <w:rsid w:val="2AA50EFC"/>
    <w:rsid w:val="2B322750"/>
    <w:rsid w:val="2BDA76B3"/>
    <w:rsid w:val="2BE43735"/>
    <w:rsid w:val="2C381D66"/>
    <w:rsid w:val="2D1727C1"/>
    <w:rsid w:val="2E5A0250"/>
    <w:rsid w:val="2E72405C"/>
    <w:rsid w:val="2EB70241"/>
    <w:rsid w:val="2ED62C58"/>
    <w:rsid w:val="2F992008"/>
    <w:rsid w:val="2FF26EB3"/>
    <w:rsid w:val="302233B5"/>
    <w:rsid w:val="306F605A"/>
    <w:rsid w:val="3111779A"/>
    <w:rsid w:val="31B053BA"/>
    <w:rsid w:val="31EA4224"/>
    <w:rsid w:val="331570B9"/>
    <w:rsid w:val="33CA7E69"/>
    <w:rsid w:val="345A23D1"/>
    <w:rsid w:val="348C033D"/>
    <w:rsid w:val="348F18C7"/>
    <w:rsid w:val="35675430"/>
    <w:rsid w:val="356A1FBE"/>
    <w:rsid w:val="361C207C"/>
    <w:rsid w:val="36635E70"/>
    <w:rsid w:val="37265326"/>
    <w:rsid w:val="37FF036F"/>
    <w:rsid w:val="387939C9"/>
    <w:rsid w:val="3A992F1D"/>
    <w:rsid w:val="3B694BDE"/>
    <w:rsid w:val="3C28362E"/>
    <w:rsid w:val="3C6F3118"/>
    <w:rsid w:val="3CD00719"/>
    <w:rsid w:val="3E816A37"/>
    <w:rsid w:val="41032ECF"/>
    <w:rsid w:val="41F60A90"/>
    <w:rsid w:val="440D7B75"/>
    <w:rsid w:val="44521958"/>
    <w:rsid w:val="454A7D88"/>
    <w:rsid w:val="46B07A04"/>
    <w:rsid w:val="46D93761"/>
    <w:rsid w:val="48C944AF"/>
    <w:rsid w:val="4A2F20BE"/>
    <w:rsid w:val="4A9451E1"/>
    <w:rsid w:val="4B7502B3"/>
    <w:rsid w:val="4E584BA7"/>
    <w:rsid w:val="50F80A55"/>
    <w:rsid w:val="514D4F6C"/>
    <w:rsid w:val="526F3A1A"/>
    <w:rsid w:val="53662E9D"/>
    <w:rsid w:val="569045D5"/>
    <w:rsid w:val="570B731C"/>
    <w:rsid w:val="58324F0C"/>
    <w:rsid w:val="5A7725B2"/>
    <w:rsid w:val="5B791466"/>
    <w:rsid w:val="5CF91C17"/>
    <w:rsid w:val="5D832F4F"/>
    <w:rsid w:val="5E1100D9"/>
    <w:rsid w:val="5F3245CD"/>
    <w:rsid w:val="5F837570"/>
    <w:rsid w:val="6080019F"/>
    <w:rsid w:val="61D64E69"/>
    <w:rsid w:val="648A17C8"/>
    <w:rsid w:val="66DA4C09"/>
    <w:rsid w:val="686A3A3E"/>
    <w:rsid w:val="69751EC6"/>
    <w:rsid w:val="6D0E77B9"/>
    <w:rsid w:val="6DE93953"/>
    <w:rsid w:val="6FB50855"/>
    <w:rsid w:val="709B77FB"/>
    <w:rsid w:val="70CA1542"/>
    <w:rsid w:val="710A14CC"/>
    <w:rsid w:val="71754692"/>
    <w:rsid w:val="71BB6C83"/>
    <w:rsid w:val="72374BF5"/>
    <w:rsid w:val="72AD26DF"/>
    <w:rsid w:val="74694152"/>
    <w:rsid w:val="748E1A5D"/>
    <w:rsid w:val="75E72F25"/>
    <w:rsid w:val="76DF12C4"/>
    <w:rsid w:val="77064D32"/>
    <w:rsid w:val="773651CA"/>
    <w:rsid w:val="77684585"/>
    <w:rsid w:val="77CE0F48"/>
    <w:rsid w:val="79963EAD"/>
    <w:rsid w:val="7D8A7112"/>
    <w:rsid w:val="7FE91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8263</Words>
  <Characters>8950</Characters>
  <Lines>0</Lines>
  <Paragraphs>0</Paragraphs>
  <TotalTime>10</TotalTime>
  <ScaleCrop>false</ScaleCrop>
  <LinksUpToDate>false</LinksUpToDate>
  <CharactersWithSpaces>9471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2026-03-30T08:30:00Z</dcterms:created>
  <dc:creator>WPS_1642583519</dc:creator>
  <cp:lastModifiedBy>WPS_1642583519</cp:lastModifiedBy>
  <dcterms:modified xsi:type="dcterms:W3CDTF">2026-03-31T02:14:31Z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67A6B75A9FB14EC5B5C6B7C6DE35677C_11</vt:lpwstr>
  </property>
  <property fmtid="{D5CDD505-2E9C-101B-9397-08002B2CF9AE}" pid="4" name="KSOTemplateDocerSaveRecord">
    <vt:lpwstr>eyJoZGlkIjoiZWQ5YmNmYzgxNDA5Y2JjYzE2MGY3ODUzNmYyNWQ2M2QiLCJ1c2VySWQiOiIxMzIwMzU0NTk0In0=</vt:lpwstr>
  </property>
</Properties>
</file>