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39035A">
      <w:pPr>
        <w:rPr>
          <w:rFonts w:hint="default"/>
          <w:u w:val="none"/>
          <w:lang w:val="en-US" w:eastAsia="zh-CN"/>
        </w:rPr>
      </w:pPr>
      <w:r>
        <w:rPr>
          <w:rFonts w:hint="eastAsia"/>
          <w:lang w:val="en-US" w:eastAsia="zh-CN"/>
        </w:rPr>
        <w:t>《经济法基础》模拟考试    姓名</w:t>
      </w:r>
      <w:r>
        <w:rPr>
          <w:rFonts w:hint="eastAsia"/>
          <w:u w:val="single"/>
          <w:lang w:val="en-US" w:eastAsia="zh-CN"/>
        </w:rPr>
        <w:t xml:space="preserve">                  </w:t>
      </w:r>
      <w:r>
        <w:rPr>
          <w:rFonts w:hint="eastAsia"/>
          <w:u w:val="none"/>
          <w:lang w:val="en-US" w:eastAsia="zh-CN"/>
        </w:rPr>
        <w:t xml:space="preserve">    分数</w:t>
      </w:r>
      <w:r>
        <w:rPr>
          <w:rFonts w:hint="eastAsia"/>
          <w:u w:val="single"/>
          <w:lang w:val="en-US" w:eastAsia="zh-CN"/>
        </w:rPr>
        <w:t xml:space="preserve">               </w:t>
      </w:r>
      <w:r>
        <w:rPr>
          <w:rFonts w:hint="eastAsia"/>
          <w:u w:val="none"/>
          <w:lang w:val="en-US" w:eastAsia="zh-CN"/>
        </w:rPr>
        <w:t xml:space="preserve"> </w:t>
      </w:r>
    </w:p>
    <w:p w14:paraId="5E232733">
      <w:pPr>
        <w:numPr>
          <w:ilvl w:val="0"/>
          <w:numId w:val="1"/>
        </w:numPr>
        <w:rPr>
          <w:rFonts w:hint="default"/>
          <w:lang w:val="en-US" w:eastAsia="zh-CN"/>
        </w:rPr>
      </w:pPr>
      <w:r>
        <w:rPr>
          <w:rFonts w:hint="eastAsia"/>
          <w:lang w:val="en-US" w:eastAsia="zh-CN"/>
        </w:rPr>
        <w:t>单项选择题</w:t>
      </w:r>
    </w:p>
    <w:p w14:paraId="5BDC3C2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lang w:val="en-US" w:eastAsia="zh-CN"/>
        </w:rPr>
        <w:t>1.</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下列关于法定代表人的表述中，错误的是（　　）。</w:t>
      </w:r>
    </w:p>
    <w:p w14:paraId="5565113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法定代表人是代表法人从事民事活动的负责人</w:t>
      </w:r>
    </w:p>
    <w:p w14:paraId="3B5C9AA5">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法定代表人以自己的名义从事民事活动</w:t>
      </w:r>
    </w:p>
    <w:p w14:paraId="6D21F81E">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法定代表人依法从事民事活动的法律后果由法人承受</w:t>
      </w:r>
    </w:p>
    <w:p w14:paraId="4F2493F0">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法人章程对法定代表人代表权的限制，不得对抗善意相对人</w:t>
      </w:r>
    </w:p>
    <w:p w14:paraId="2FF782B0">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法定代表人以法人名义从事的民事活动，其法律后果由法人承受。</w:t>
      </w:r>
    </w:p>
    <w:p w14:paraId="1CF90CB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2.</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下列法律事实中，属于事实行为的是（　　）。</w:t>
      </w:r>
    </w:p>
    <w:p w14:paraId="4A546CA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发生地震</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直播带货</w:t>
      </w: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捡到宝贝</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发生战争</w:t>
      </w:r>
    </w:p>
    <w:p w14:paraId="05B1A89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w:t>
      </w:r>
    </w:p>
    <w:p w14:paraId="395F5787">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ascii="微软雅黑" w:hAnsi="微软雅黑" w:eastAsia="微软雅黑" w:cs="微软雅黑"/>
          <w:i w:val="0"/>
          <w:iCs w:val="0"/>
          <w:caps w:val="0"/>
          <w:color w:val="44484D"/>
          <w:spacing w:val="0"/>
          <w:sz w:val="21"/>
          <w:szCs w:val="21"/>
          <w:shd w:val="clear" w:fill="FFFFFF"/>
        </w:rPr>
        <w:t>选项AD 均为法律事件，选项A属于绝对事件，选项D 属于相对事件；选项B属于法律行为；选项C：捡到宝贝即为“拾得遗失物”，属于事实行为</w:t>
      </w:r>
    </w:p>
    <w:p w14:paraId="07C1BC2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3.根据《会计档案管理办法》的规定，当年形成的会计档案在年度终了后，可暂由会计部门保管的期限是（　　）。</w:t>
      </w:r>
    </w:p>
    <w:p w14:paraId="03C015F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1年</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3年</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5年</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10年</w:t>
      </w:r>
    </w:p>
    <w:p w14:paraId="2ED8888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w:t>
      </w:r>
      <w:r>
        <w:rPr>
          <w:rFonts w:ascii="微软雅黑" w:hAnsi="微软雅黑" w:eastAsia="微软雅黑" w:cs="微软雅黑"/>
          <w:i w:val="0"/>
          <w:iCs w:val="0"/>
          <w:caps w:val="0"/>
          <w:color w:val="44484D"/>
          <w:spacing w:val="0"/>
          <w:sz w:val="21"/>
          <w:szCs w:val="21"/>
          <w:shd w:val="clear" w:fill="FFFFFF"/>
        </w:rPr>
        <w:t>当年形成的会计档案，在会计年度终了后，由单位会计管理机构临时保管一年，再移交单位档案管理机构保管。</w:t>
      </w:r>
    </w:p>
    <w:p w14:paraId="3B75882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4.根据会计法律制度的规定，下列会计档案中，属于定期保管的是（　　）。</w:t>
      </w:r>
    </w:p>
    <w:p w14:paraId="41DF72C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年度财务会计报告B</w:t>
      </w:r>
      <w:r>
        <w:rPr>
          <w:rFonts w:hint="eastAsia"/>
          <w:lang w:val="en-US" w:eastAsia="zh-CN"/>
        </w:rPr>
        <w:t>.</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总账</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会计档案销毁清册</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会计档案鉴定意见书</w:t>
      </w:r>
    </w:p>
    <w:p w14:paraId="719A2A8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选项A、C、D，属于永久保存。</w:t>
      </w:r>
    </w:p>
    <w:p w14:paraId="0E5A629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5.</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张某为事业单位会计机构负责人，妻子是会计人员，那么其妻子不得担任的岗位是（　　）。</w:t>
      </w:r>
    </w:p>
    <w:p w14:paraId="549AA02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出纳</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稽核</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经营成果核算</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成本核算</w:t>
      </w:r>
    </w:p>
    <w:p w14:paraId="3CE1D6D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w:t>
      </w:r>
      <w:r>
        <w:rPr>
          <w:rFonts w:ascii="微软雅黑" w:hAnsi="微软雅黑" w:eastAsia="微软雅黑" w:cs="微软雅黑"/>
          <w:i w:val="0"/>
          <w:iCs w:val="0"/>
          <w:caps w:val="0"/>
          <w:color w:val="44484D"/>
          <w:spacing w:val="0"/>
          <w:sz w:val="21"/>
          <w:szCs w:val="21"/>
          <w:shd w:val="clear" w:fill="FFFFFF"/>
        </w:rPr>
        <w:t>国家机关、国有企业、事业单位任用会计人员应当实行回避制度，会计机构负责人、会计主管人员的直系亲属不得在本单位会计机构中担任出纳工作。</w:t>
      </w:r>
    </w:p>
    <w:p w14:paraId="626B5E8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6.</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根据支付结算法律制度的规定，下列有关银行汇票的表述中，正确的是（　　）。</w:t>
      </w:r>
    </w:p>
    <w:p w14:paraId="459CF00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银行汇票仅限于支取现金</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实际结算金额与出票金额不一致的，该银行汇票无效C银行汇票的提示付款期限自出票日起1 个月</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个人办理结算业务不得使用银行汇票</w:t>
      </w:r>
    </w:p>
    <w:p w14:paraId="321BD4A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w:t>
      </w:r>
      <w:r>
        <w:rPr>
          <w:rFonts w:ascii="微软雅黑" w:hAnsi="微软雅黑" w:eastAsia="微软雅黑" w:cs="微软雅黑"/>
          <w:i w:val="0"/>
          <w:iCs w:val="0"/>
          <w:caps w:val="0"/>
          <w:color w:val="44484D"/>
          <w:spacing w:val="0"/>
          <w:sz w:val="21"/>
          <w:szCs w:val="21"/>
          <w:shd w:val="clear" w:fill="FFFFFF"/>
        </w:rPr>
        <w:t>（1）选项A：银行汇票可以用于转账，填明“现金”字样的银行汇票也可以用于支取现金；（2）选项B：实际结算金额低于出票金额的，其多余金额由出票银行退交申请人，实际结算金额超过出票金额的，银行不予受理；（3）选项D：单位和个人的各种款项结算，均可使用银行汇票。</w:t>
      </w:r>
    </w:p>
    <w:p w14:paraId="191305B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7.</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甲公司签发了一张收款人为乙公司、背书人为丙公司的转账支票，支票上记载的付款银行为甲公司的开户银行M 银行，下列当事人中，不属于该支票基本当事人的是（　　）。</w:t>
      </w:r>
    </w:p>
    <w:p w14:paraId="6EE81D5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乙公司</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甲公司C丙公司</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M 银行</w:t>
      </w:r>
    </w:p>
    <w:p w14:paraId="268FE40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w:t>
      </w:r>
      <w:r>
        <w:rPr>
          <w:rFonts w:ascii="微软雅黑" w:hAnsi="微软雅黑" w:eastAsia="微软雅黑" w:cs="微软雅黑"/>
          <w:i w:val="0"/>
          <w:iCs w:val="0"/>
          <w:caps w:val="0"/>
          <w:color w:val="44484D"/>
          <w:spacing w:val="0"/>
          <w:sz w:val="21"/>
          <w:szCs w:val="21"/>
          <w:shd w:val="clear" w:fill="FFFFFF"/>
        </w:rPr>
        <w:t>支票的基本当事人有出票人、付款人与收款人。丙公司为背书人，不属于支票的基本当事人。</w:t>
      </w:r>
    </w:p>
    <w:p w14:paraId="00CB1BE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8.</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甲拟通过电子渠道申请开立两个个人银行结算账户，根据规定，下列选项中，甲可以成功开立的是（　　）。</w:t>
      </w:r>
    </w:p>
    <w:p w14:paraId="0F22F5E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Ⅰ类银行账户和Ⅱ类银行账户</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Ⅰ类银行账户和Ⅲ类银行账户</w:t>
      </w:r>
    </w:p>
    <w:p w14:paraId="28675BED">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C.Ⅱ类银行账户和Ⅲ类银行账户</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两个均为Ⅰ类银行账户</w:t>
      </w:r>
    </w:p>
    <w:p w14:paraId="5A342129">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w:t>
      </w:r>
      <w:r>
        <w:rPr>
          <w:rFonts w:ascii="微软雅黑" w:hAnsi="微软雅黑" w:eastAsia="微软雅黑" w:cs="微软雅黑"/>
          <w:i w:val="0"/>
          <w:iCs w:val="0"/>
          <w:caps w:val="0"/>
          <w:color w:val="44484D"/>
          <w:spacing w:val="0"/>
          <w:sz w:val="21"/>
          <w:szCs w:val="21"/>
          <w:shd w:val="clear" w:fill="FFFFFF"/>
        </w:rPr>
        <w:t>通过网上银行和手机银行等电子渠道受理银行账户开户申请的，银行可以为申请人开立Ⅱ类银行账户或Ⅲ类银行账户。</w:t>
      </w:r>
    </w:p>
    <w:p w14:paraId="6EA413E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9.</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甲食品公司为增值税一般纳税人，2025年7月从农民手中收购一批农产品，开具的农产品收购发票注明买价99 000元，所收购的农产品当月全部用于生产袋装食品。已知购进的农产品按照10％的扣除率计算进项税额。计算甲食品公司当月收购该批农产品准予抵扣的进项税额的下列算式中，正确的是（　　）。</w:t>
      </w:r>
    </w:p>
    <w:p w14:paraId="4B97D1C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99 000÷（1 ＋ 10％）×10％＝ 9 000（元）</w:t>
      </w:r>
    </w:p>
    <w:p w14:paraId="6655C273">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99 000×10％＝ 9 900（元）</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99 000×（1 ＋ 10％）×10％＝ 10 890（元）</w:t>
      </w:r>
    </w:p>
    <w:p w14:paraId="4A351976">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99 000÷（1 － 10％）×10％＝ 11 000（元）</w:t>
      </w:r>
    </w:p>
    <w:p w14:paraId="5AAF6F0B">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纳税人购进用于生产或者委托加工13％税率货物的农产品，按照农产品收购发票注明的买价和10％的扣除率计算抵扣进项税额，购进农产品准予抵扣的进项税额＝ 99 000×10％＝ 9 900（元）。</w:t>
      </w:r>
    </w:p>
    <w:p w14:paraId="298892C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10.</w:t>
      </w: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甲金店为增值税一般纳税人，采取以旧换新方式零售一批金项链，该批金项链含增值税售价101 300元，换回的旧金项链作价73 450元，实际收取含增值税价款27 850元。已知，增值税税率为13%，消费税税率为5%。计算甲金店上述业务应缴纳消费税税额的下列算式中，正确的是（　　）。</w:t>
      </w:r>
    </w:p>
    <w:p w14:paraId="1943BDC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27 850÷（1 ＋ 13%）×5%</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（101 300 ＋ 27 850）×5%</w:t>
      </w:r>
    </w:p>
    <w:p w14:paraId="04E80387">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101 300÷（1 ＋ 13%）×5%</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73 450×5%</w:t>
      </w:r>
    </w:p>
    <w:p w14:paraId="46BC7398">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w:t>
      </w:r>
      <w:r>
        <w:rPr>
          <w:rFonts w:ascii="微软雅黑" w:hAnsi="微软雅黑" w:eastAsia="微软雅黑" w:cs="微软雅黑"/>
          <w:i w:val="0"/>
          <w:iCs w:val="0"/>
          <w:caps w:val="0"/>
          <w:color w:val="44484D"/>
          <w:spacing w:val="0"/>
          <w:sz w:val="21"/>
          <w:szCs w:val="21"/>
          <w:shd w:val="clear" w:fill="FFFFFF"/>
        </w:rPr>
        <w:t>1）纳税人采取以旧换新方式销售金银首饰的，按照销售方实际收取的不含增值税的全部价款［27 850÷（1 ＋ 13%）］确定计税销售额；（2）假设要求计算增值税销项税额，甲金店增值税销项税额＝ 27 850÷（1 ＋ 13%）×13%。</w:t>
      </w:r>
    </w:p>
    <w:p w14:paraId="0C58162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11.</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根据车辆购置税法律制度的规定，下列各项中，需要缴纳车辆购置税的是（　　）。</w:t>
      </w:r>
    </w:p>
    <w:p w14:paraId="1244E2C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汽车</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火车</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电动滑板车</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电动自行车</w:t>
      </w:r>
    </w:p>
    <w:p w14:paraId="5FAB6E8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w:t>
      </w:r>
      <w:r>
        <w:rPr>
          <w:rFonts w:ascii="微软雅黑" w:hAnsi="微软雅黑" w:eastAsia="微软雅黑" w:cs="微软雅黑"/>
          <w:i w:val="0"/>
          <w:iCs w:val="0"/>
          <w:caps w:val="0"/>
          <w:color w:val="44484D"/>
          <w:spacing w:val="0"/>
          <w:sz w:val="21"/>
          <w:szCs w:val="21"/>
          <w:shd w:val="clear" w:fill="FFFFFF"/>
        </w:rPr>
        <w:t>车辆购置税的征税范围包括汽车、有轨电车、汽车挂车、排气量超过150 毫升的摩托车。</w:t>
      </w:r>
    </w:p>
    <w:p w14:paraId="5107BB6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12.</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2025年10月，居民个人周某在商场举办的有奖销售活动中获得奖金5 000元，周某领奖时支付交通费30元、餐费70元。已知偶然所得个人所得税税率为20%，计算周某中奖奖金的个人所得税税额的下列算式中，正确的是（　　）。</w:t>
      </w:r>
    </w:p>
    <w:p w14:paraId="492CFC3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（5 000 － 70）×20%</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（5 000 － 30 － 70）×20%</w:t>
      </w:r>
    </w:p>
    <w:p w14:paraId="419C4C83">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（5 000 － 30）×20%   </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5 000×20%</w:t>
      </w:r>
    </w:p>
    <w:p w14:paraId="28E2C7D0">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D</w:t>
      </w:r>
      <w:r>
        <w:rPr>
          <w:rFonts w:ascii="微软雅黑" w:hAnsi="微软雅黑" w:eastAsia="微软雅黑" w:cs="微软雅黑"/>
          <w:i w:val="0"/>
          <w:iCs w:val="0"/>
          <w:caps w:val="0"/>
          <w:color w:val="44484D"/>
          <w:spacing w:val="0"/>
          <w:sz w:val="21"/>
          <w:szCs w:val="21"/>
          <w:shd w:val="clear" w:fill="FFFFFF"/>
        </w:rPr>
        <w:t>周某领奖时支付的交通费30元、餐费70元，均不得扣除。</w:t>
      </w:r>
    </w:p>
    <w:p w14:paraId="3E1C7C6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13.</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某公司2025年度企业所得税应纳税所得额1 000万元，当年购置并实际使用一台符合《节能节水专用设备企业所得税优惠目录》规定的节能节水专用设备，该专用设备投资额510万元。已知，企业所得税税率为25％。计算该公司2025年度应缴纳企业所得税税额的下列算式中，正确的是（　　）。</w:t>
      </w:r>
    </w:p>
    <w:p w14:paraId="6F4D0DA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1 000×25％＝ 250（万元）</w:t>
      </w:r>
    </w:p>
    <w:p w14:paraId="76FE1315">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1 000×25％－ 510×10％＝ 199（万元）</w:t>
      </w:r>
    </w:p>
    <w:p w14:paraId="263FDEA9">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（1 000 － 510）×25％＝ 122.5（万元）</w:t>
      </w:r>
    </w:p>
    <w:p w14:paraId="28532776">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（1 000 － 510×10％）×25％＝ 237.25（万元）</w:t>
      </w:r>
    </w:p>
    <w:p w14:paraId="6CAA86BB">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企业购置并实际使用符合规定的环境保护、 节能节水、安全生产等专用设备的，该专用设备的投资额的10％（510×10％＝ 51万元）可以从企业当年的应纳税额（1 000×25％＝ 250万元）中抵免；当年不足抵免的，可以在以后5 个纳税年度结转抵免。故该公司2025年度应缴纳企业所得税税额＝ 1 000×25％－ 510×10％＝ 199（万元），选项B正确。</w:t>
      </w:r>
    </w:p>
    <w:p w14:paraId="09181B5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14.</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根据个人所得税法律制度的规定，居民个人取得综合所得需要办理汇算清缴的，应当在法定期限内办理。该法定期限为（　　）。</w:t>
      </w:r>
    </w:p>
    <w:p w14:paraId="48E0586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当年12月31日前</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次年1月1日至5月31日</w:t>
      </w:r>
    </w:p>
    <w:p w14:paraId="0ED52737">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次年1月1日至6月30日</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次年3月1日至6月30日</w:t>
      </w:r>
    </w:p>
    <w:p w14:paraId="0435ACA8">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D</w:t>
      </w:r>
      <w:r>
        <w:rPr>
          <w:rFonts w:ascii="微软雅黑" w:hAnsi="微软雅黑" w:eastAsia="微软雅黑" w:cs="微软雅黑"/>
          <w:i w:val="0"/>
          <w:iCs w:val="0"/>
          <w:caps w:val="0"/>
          <w:color w:val="44484D"/>
          <w:spacing w:val="0"/>
          <w:sz w:val="21"/>
          <w:szCs w:val="21"/>
          <w:shd w:val="clear" w:fill="FFFFFF"/>
        </w:rPr>
        <w:t>根据个人所得税法律制度的规定，居民个人取得综合所得需要办理汇算清缴的，应当在次年3月1日至6月30日期间办理。</w:t>
      </w:r>
    </w:p>
    <w:p w14:paraId="559DEE5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15.</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根据契税法律制度的规定，下列各项中，应当依法缴纳契税的是（　　）。</w:t>
      </w:r>
    </w:p>
    <w:p w14:paraId="6A8150B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法定继承人通过继承承受房屋权属</w:t>
      </w:r>
    </w:p>
    <w:p w14:paraId="67BA9260">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夫妻因离婚分割共同财产而变更房屋权属</w:t>
      </w: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获奖人员受赠房屋权属</w:t>
      </w:r>
    </w:p>
    <w:p w14:paraId="1EBDE2DF">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婚姻关系存续期间夫妻之间变更土地、房屋权属</w:t>
      </w:r>
    </w:p>
    <w:p w14:paraId="2254EC16">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w:t>
      </w:r>
      <w:r>
        <w:rPr>
          <w:rFonts w:ascii="微软雅黑" w:hAnsi="微软雅黑" w:eastAsia="微软雅黑" w:cs="微软雅黑"/>
          <w:i w:val="0"/>
          <w:iCs w:val="0"/>
          <w:caps w:val="0"/>
          <w:color w:val="44484D"/>
          <w:spacing w:val="0"/>
          <w:sz w:val="21"/>
          <w:szCs w:val="21"/>
          <w:shd w:val="clear" w:fill="FFFFFF"/>
        </w:rPr>
        <w:t>1）选项ABD：免征契税；（2）选项C：涉及房屋权属转移，获奖方属于承受方，应缴纳契税。</w:t>
      </w:r>
    </w:p>
    <w:p w14:paraId="6FEE470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16.</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甲公司转让一座旧仓库，该仓库原造价为80万元；经法定评估机构评定，转让时该仓库的重置成本价为200万元，成新度折扣率为6 成。根据土地增值税法律制度的规定，甲公司转让该仓库时的评估价格为（　　）万元。</w:t>
      </w:r>
    </w:p>
    <w:p w14:paraId="130268F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48</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80</w:t>
      </w: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120</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200</w:t>
      </w:r>
    </w:p>
    <w:p w14:paraId="392BE6C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w:t>
      </w:r>
      <w:r>
        <w:rPr>
          <w:rFonts w:ascii="微软雅黑" w:hAnsi="微软雅黑" w:eastAsia="微软雅黑" w:cs="微软雅黑"/>
          <w:i w:val="0"/>
          <w:iCs w:val="0"/>
          <w:caps w:val="0"/>
          <w:color w:val="44484D"/>
          <w:spacing w:val="0"/>
          <w:sz w:val="21"/>
          <w:szCs w:val="21"/>
          <w:shd w:val="clear" w:fill="FFFFFF"/>
        </w:rPr>
        <w:t>旧房及建筑物的评估价格是指在转让已使用的房屋及建筑物时，由政府批准设立的房地产评估机构评定的重置成本价乘以成新度折扣率后的价格。</w:t>
      </w:r>
    </w:p>
    <w:p w14:paraId="307046D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17.某货运公司2025年年初拥有载货汽车10 辆、挂车5 辆，整备质量均为20 吨/ 辆；拥有乘用车5 辆。该公司所在省规定载货汽车年基准税额每吨40元，乘用车年基准税额为每辆360元。根据车船税法律制度的规定，该公司2025年应缴纳车船税（　　）元。</w:t>
      </w:r>
    </w:p>
    <w:p w14:paraId="51BC3C5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9 400</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10 200</w:t>
      </w: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11 800</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12 000</w:t>
      </w:r>
    </w:p>
    <w:p w14:paraId="0BB0D7C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w:t>
      </w:r>
      <w:r>
        <w:rPr>
          <w:rFonts w:ascii="微软雅黑" w:hAnsi="微软雅黑" w:eastAsia="微软雅黑" w:cs="微软雅黑"/>
          <w:i w:val="0"/>
          <w:iCs w:val="0"/>
          <w:caps w:val="0"/>
          <w:color w:val="44484D"/>
          <w:spacing w:val="0"/>
          <w:sz w:val="21"/>
          <w:szCs w:val="21"/>
          <w:shd w:val="clear" w:fill="FFFFFF"/>
        </w:rPr>
        <w:t>1）挂车按照货车税额的50％计算车船税；（2）该公司2025年应缴纳车船税＝ 10×20×40 ＋ 5×20×40×50％＋ 5×360 ＝ 11 800（元）。</w:t>
      </w:r>
    </w:p>
    <w:p w14:paraId="4C01BF8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18</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根据房产税法律制度的规定，下列各项中，免征房产税的是（　　）。</w:t>
      </w:r>
    </w:p>
    <w:p w14:paraId="60B4201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机械厂的厂房</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公园附设的茶社</w:t>
      </w: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名胜古迹自用的办公楼</w:t>
      </w:r>
    </w:p>
    <w:p w14:paraId="25EDC9F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大修停用三个月以上的房产</w:t>
      </w:r>
    </w:p>
    <w:p w14:paraId="6778ACC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w:t>
      </w:r>
      <w:r>
        <w:rPr>
          <w:rFonts w:ascii="微软雅黑" w:hAnsi="微软雅黑" w:eastAsia="微软雅黑" w:cs="微软雅黑"/>
          <w:i w:val="0"/>
          <w:iCs w:val="0"/>
          <w:caps w:val="0"/>
          <w:color w:val="44484D"/>
          <w:spacing w:val="0"/>
          <w:sz w:val="21"/>
          <w:szCs w:val="21"/>
          <w:shd w:val="clear" w:fill="FFFFFF"/>
        </w:rPr>
        <w:t>选项B，宗教寺庙、公园、名胜古迹中附设的营业单位，如影剧院、饮食部、茶社、照相馆等所使用的房产及出租的房产，不属于免税范围，应照章征税；选项D，房屋大修导致连续停用半年以上的，在房屋大修期间可以免征房产税。</w:t>
      </w:r>
    </w:p>
    <w:p w14:paraId="319823A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19.</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负有纳税申报义务的纳税人连续在一定期限内对所有税种均没有进行纳税申报的，税收征管系统自动认定为非正常户，该期限是（　　）。</w:t>
      </w:r>
    </w:p>
    <w:p w14:paraId="3A0D3D9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3 个月</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6 个月</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9 个月</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12 个月</w:t>
      </w:r>
    </w:p>
    <w:p w14:paraId="24F77BB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w:t>
      </w:r>
      <w:r>
        <w:rPr>
          <w:rFonts w:ascii="微软雅黑" w:hAnsi="微软雅黑" w:eastAsia="微软雅黑" w:cs="微软雅黑"/>
          <w:i w:val="0"/>
          <w:iCs w:val="0"/>
          <w:caps w:val="0"/>
          <w:color w:val="44484D"/>
          <w:spacing w:val="0"/>
          <w:sz w:val="21"/>
          <w:szCs w:val="21"/>
          <w:shd w:val="clear" w:fill="FFFFFF"/>
        </w:rPr>
        <w:t>纳税人负有纳税申报义务，但连续3 个月所有税种均未进行纳税申报的，税收征管系统自动将其认定为非正常户，并停止其发票领购簿和发票的使用</w:t>
      </w:r>
    </w:p>
    <w:p w14:paraId="61C08AA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20.</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根据税收征收管理法律制度的规定，当纳税义务人对税务机关和其他行政机关共同作出的具体行政行为不服的，向（　　）申请行政复议。</w:t>
      </w:r>
    </w:p>
    <w:p w14:paraId="54DD2D3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税务机关上一级</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行政机关上一级</w:t>
      </w:r>
    </w:p>
    <w:p w14:paraId="640DFB9C">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共同上一级的行政机关</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共同上一级的税务机关</w:t>
      </w:r>
    </w:p>
    <w:p w14:paraId="1315C5B7">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w:t>
      </w:r>
      <w:r>
        <w:rPr>
          <w:rFonts w:ascii="微软雅黑" w:hAnsi="微软雅黑" w:eastAsia="微软雅黑" w:cs="微软雅黑"/>
          <w:i w:val="0"/>
          <w:iCs w:val="0"/>
          <w:caps w:val="0"/>
          <w:color w:val="44484D"/>
          <w:spacing w:val="0"/>
          <w:sz w:val="21"/>
          <w:szCs w:val="21"/>
          <w:shd w:val="clear" w:fill="FFFFFF"/>
        </w:rPr>
        <w:t>当纳税义务人对税务机关和其他行政机关共同作出的具体行政行为不服的，向共同上一级的行政机关申请行政复议。</w:t>
      </w:r>
    </w:p>
    <w:p w14:paraId="7FDAF05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21.</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2025年11月甲公司职工王某向公司提出带薪年休假申请。已知，王某累计工作已满15年，在甲公司工作满2年且本年度未休年休假。王某依法可享受的当年带薪年休假为（　　）天。</w:t>
      </w:r>
    </w:p>
    <w:p w14:paraId="21A92E9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15</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0   </w:t>
      </w: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10  </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5</w:t>
      </w:r>
    </w:p>
    <w:p w14:paraId="76FD1C9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w:t>
      </w:r>
      <w:r>
        <w:rPr>
          <w:rFonts w:ascii="微软雅黑" w:hAnsi="微软雅黑" w:eastAsia="微软雅黑" w:cs="微软雅黑"/>
          <w:i w:val="0"/>
          <w:iCs w:val="0"/>
          <w:caps w:val="0"/>
          <w:color w:val="44484D"/>
          <w:spacing w:val="0"/>
          <w:sz w:val="21"/>
          <w:szCs w:val="21"/>
          <w:shd w:val="clear" w:fill="FFFFFF"/>
        </w:rPr>
        <w:t>（1）带薪年休假天数与累计工作时间有关，跟“本单位工作时间”无关；（2）职工累计工作已经满10年不满20年的，年休假10 天。</w:t>
      </w:r>
    </w:p>
    <w:p w14:paraId="057ECA9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22.2025年1月，甲公司安排谢某于1月1日（元旦）加班1 天，于1月4日（周六）加班1 天，之后未安排补休。已知，甲公司实行标准工时制，谢某日工资为500元。计算甲公司应支付谢某1月份最低加班工资的下列算式中，正确的是（　　）。</w:t>
      </w:r>
    </w:p>
    <w:p w14:paraId="71955EA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500×200%×1 ＋ 500×150%×1 ＝ 1 750（元）</w:t>
      </w:r>
    </w:p>
    <w:p w14:paraId="7F24274D">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500×200%×1 ＋ 500×200%×1 ＝ 2 000（元）</w:t>
      </w:r>
    </w:p>
    <w:p w14:paraId="79DE007A">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500×300%×1 ＋ 500×150%×1 ＝ 2 250（元）</w:t>
      </w:r>
    </w:p>
    <w:p w14:paraId="7B34B56E">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500×300%×1 ＋ 500×200%×1 ＝ 2 500（元）</w:t>
      </w:r>
    </w:p>
    <w:p w14:paraId="09015587">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D</w:t>
      </w:r>
      <w:r>
        <w:rPr>
          <w:rFonts w:ascii="微软雅黑" w:hAnsi="微软雅黑" w:eastAsia="微软雅黑" w:cs="微软雅黑"/>
          <w:i w:val="0"/>
          <w:iCs w:val="0"/>
          <w:caps w:val="0"/>
          <w:color w:val="44484D"/>
          <w:spacing w:val="0"/>
          <w:sz w:val="21"/>
          <w:szCs w:val="21"/>
          <w:shd w:val="clear" w:fill="FFFFFF"/>
        </w:rPr>
        <w:t>1）元旦加班属于法定休假日加班，应按“300%”支付加班工资；（2）周六加班且未安排补休的，应按“200%”支付加班工资。</w:t>
      </w:r>
    </w:p>
    <w:p w14:paraId="6C96C22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23.2025年11月29日，甲公司不再与经理刘某续订劳动合同，刘某的劳动合同期满终止。已知，刘某在甲公司的工作年限为13年，劳动合同终止前12 个月刘某的月平均工资为16 000元，当地上年度职工月平均工资6 000元。计算劳动合同终止时刘某有权获得的经济补偿的下列算式中，正确的是（　　）。</w:t>
      </w:r>
    </w:p>
    <w:p w14:paraId="6492700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6 000×3×13</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16 000×12  </w:t>
      </w: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16 000×13</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6 000×3×12</w:t>
      </w:r>
    </w:p>
    <w:p w14:paraId="7FA34E8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w:t>
      </w:r>
      <w:r>
        <w:rPr>
          <w:rFonts w:ascii="微软雅黑" w:hAnsi="微软雅黑" w:eastAsia="微软雅黑" w:cs="微软雅黑"/>
          <w:i w:val="0"/>
          <w:iCs w:val="0"/>
          <w:caps w:val="0"/>
          <w:color w:val="44484D"/>
          <w:spacing w:val="0"/>
          <w:sz w:val="21"/>
          <w:szCs w:val="21"/>
          <w:shd w:val="clear" w:fill="FFFFFF"/>
        </w:rPr>
        <w:t>刘某的月平均工资为16 000元，不高于当地上年度职工月平均工资的3 倍（6 000×3 ＝ 18 000元），不必与12年比较孰低。</w:t>
      </w:r>
    </w:p>
    <w:p w14:paraId="6B91FABD">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firstLine="0" w:firstLineChars="0"/>
        <w:jc w:val="left"/>
        <w:rPr>
          <w:rFonts w:hint="eastAsia" w:ascii="微软雅黑" w:hAnsi="微软雅黑" w:eastAsia="微软雅黑" w:cs="微软雅黑"/>
          <w:i w:val="0"/>
          <w:iCs w:val="0"/>
          <w:caps w:val="0"/>
          <w:color w:val="44484D"/>
          <w:spacing w:val="0"/>
          <w:sz w:val="21"/>
          <w:szCs w:val="21"/>
          <w:shd w:val="clear" w:fill="FFFFFF"/>
          <w:lang w:val="en-US" w:eastAsia="zh-CN"/>
        </w:rPr>
      </w:pPr>
      <w:r>
        <w:rPr>
          <w:rFonts w:hint="eastAsia" w:ascii="微软雅黑" w:hAnsi="微软雅黑" w:eastAsia="微软雅黑" w:cs="微软雅黑"/>
          <w:i w:val="0"/>
          <w:iCs w:val="0"/>
          <w:caps w:val="0"/>
          <w:color w:val="44484D"/>
          <w:spacing w:val="0"/>
          <w:sz w:val="21"/>
          <w:szCs w:val="21"/>
          <w:shd w:val="clear" w:fill="FFFFFF"/>
          <w:lang w:val="en-US" w:eastAsia="zh-CN"/>
        </w:rPr>
        <w:t>多项选择题</w:t>
      </w:r>
    </w:p>
    <w:p w14:paraId="1CAEFEB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pPr>
      <w:r>
        <w:rPr>
          <w:rFonts w:hint="eastAsia" w:ascii="微软雅黑" w:hAnsi="微软雅黑" w:eastAsia="微软雅黑" w:cs="微软雅黑"/>
          <w:i w:val="0"/>
          <w:iCs w:val="0"/>
          <w:caps w:val="0"/>
          <w:color w:val="44484D"/>
          <w:spacing w:val="0"/>
          <w:sz w:val="21"/>
          <w:szCs w:val="21"/>
          <w:shd w:val="clear" w:fill="FFFFFF"/>
          <w:lang w:val="en-US" w:eastAsia="zh-CN"/>
        </w:rPr>
        <w:t>1.</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甲公司财务部门在讨论某项业务的税务处理依据时，列举了以下四部规范性文件，其中属于行政法规的有（　　）。</w:t>
      </w:r>
    </w:p>
    <w:p w14:paraId="1E89DA4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《中华人民共和国消费税暂行条例实施细则》</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《中华人民共和国企业所得税法》</w:t>
      </w: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《中华人民共和国消费税暂行条例》</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《中华人民共和国个人所得税法实施条例》</w:t>
      </w:r>
    </w:p>
    <w:p w14:paraId="30646B7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CD</w:t>
      </w:r>
      <w:r>
        <w:rPr>
          <w:rFonts w:ascii="微软雅黑" w:hAnsi="微软雅黑" w:eastAsia="微软雅黑" w:cs="微软雅黑"/>
          <w:i w:val="0"/>
          <w:iCs w:val="0"/>
          <w:caps w:val="0"/>
          <w:color w:val="44484D"/>
          <w:spacing w:val="0"/>
          <w:sz w:val="21"/>
          <w:szCs w:val="21"/>
          <w:shd w:val="clear" w:fill="FFFFFF"/>
        </w:rPr>
        <w:t>选项A，属于部门规章；选项B，属于法律。</w:t>
      </w:r>
    </w:p>
    <w:p w14:paraId="5329718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2.</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甲公司财务人员赵某取得一张原始凭证，下列各项中，属于该原始凭证具备的内容的有（　　）。</w:t>
      </w:r>
    </w:p>
    <w:p w14:paraId="3883145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凭证编号</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填制凭证的日期</w:t>
      </w: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接受凭证单位的名称</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经办人员的签名或者盖章</w:t>
      </w:r>
    </w:p>
    <w:p w14:paraId="110B4D4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BCD</w:t>
      </w:r>
      <w:r>
        <w:rPr>
          <w:rFonts w:ascii="微软雅黑" w:hAnsi="微软雅黑" w:eastAsia="微软雅黑" w:cs="微软雅黑"/>
          <w:i w:val="0"/>
          <w:iCs w:val="0"/>
          <w:caps w:val="0"/>
          <w:color w:val="44484D"/>
          <w:spacing w:val="0"/>
          <w:sz w:val="21"/>
          <w:szCs w:val="21"/>
          <w:shd w:val="clear" w:fill="FFFFFF"/>
        </w:rPr>
        <w:t>原始凭证必须具备以下内容：（1）凭证的名称；（2）填制凭证的日期；（3）填制凭证单位名称或者填制人姓名；（4）经办人员的签名或者盖章；（5）接受凭证单位名称；（6）经济业务内容；（7）数量、单价和金额。</w:t>
      </w:r>
    </w:p>
    <w:p w14:paraId="6153916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3.</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根据支付结算法律制度的规定，下列关于银行卡风险控制的说法中，正确的有（　　）。</w:t>
      </w:r>
    </w:p>
    <w:p w14:paraId="2E8AAFE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信用卡持卡人通过ATM 机办理现金提取业务，每卡每日累计不得超过人民币2万元</w:t>
      </w:r>
    </w:p>
    <w:p w14:paraId="3B8203C1">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借记卡持卡人通过ATM 机办理现金提取业务，每卡每日累计不得超过人民币1万元</w:t>
      </w:r>
    </w:p>
    <w:p w14:paraId="473AE1CE">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储值卡面值或卡内币值不得超过1 000元</w:t>
      </w:r>
    </w:p>
    <w:p w14:paraId="376C5987">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发卡机构可自主确定是否提供现金充值服务，并与持卡人协议约定每卡每日限额</w:t>
      </w:r>
    </w:p>
    <w:p w14:paraId="53F86288">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CD</w:t>
      </w:r>
      <w:r>
        <w:rPr>
          <w:rFonts w:ascii="微软雅黑" w:hAnsi="微软雅黑" w:eastAsia="微软雅黑" w:cs="微软雅黑"/>
          <w:i w:val="0"/>
          <w:iCs w:val="0"/>
          <w:caps w:val="0"/>
          <w:color w:val="44484D"/>
          <w:spacing w:val="0"/>
          <w:sz w:val="21"/>
          <w:szCs w:val="21"/>
          <w:shd w:val="clear" w:fill="FFFFFF"/>
        </w:rPr>
        <w:t>选项AB，信用卡持卡人通过ATM 等自助机具办理现金提取业务，每卡每日累计不得超过人民币1万元；借记卡持卡人通过ATM 等自助机具办理现金提取业务，每卡每日累计</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不得超过人民币2万元。</w:t>
      </w:r>
    </w:p>
    <w:p w14:paraId="75122E1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4.</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根据增值税法律制度的规定，一般纳税人取得的下列合法凭证中，属于增值税扣税凭证的有（　　）。</w:t>
      </w:r>
    </w:p>
    <w:p w14:paraId="3765C59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购进农产品取得的农产品收购发票</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符合规定的国内旅客运输发票</w:t>
      </w: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自境外单位购进服务取得的完税凭证</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购进货物取得的海关进口增值税专用缴款书</w:t>
      </w:r>
    </w:p>
    <w:p w14:paraId="33FC3C9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ABCD</w:t>
      </w:r>
      <w:r>
        <w:rPr>
          <w:rFonts w:ascii="微软雅黑" w:hAnsi="微软雅黑" w:eastAsia="微软雅黑" w:cs="微软雅黑"/>
          <w:i w:val="0"/>
          <w:iCs w:val="0"/>
          <w:caps w:val="0"/>
          <w:color w:val="44484D"/>
          <w:spacing w:val="0"/>
          <w:sz w:val="21"/>
          <w:szCs w:val="21"/>
          <w:shd w:val="clear" w:fill="FFFFFF"/>
        </w:rPr>
        <w:t>增值税扣税凭证，具体包括增值税专用发票、海关进口增值税专用缴款书、完税凭证、农产品收购发票、农产品销售发票以及其他具有进项税额抵扣功能的扣税凭证。购进国内旅客运输服务取得的符合规定的发票，属于其他增值税扣税凭证。</w:t>
      </w:r>
    </w:p>
    <w:p w14:paraId="2046B90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5.</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A银行委托B银行向甲企业提供贷款，由乙企业提供连带责任保证，各方签订了书面借款合同、保证合同。根据印花税法律制度的规定，下列各项中，属于借款合同印花税纳税义务人的有（　　）。</w:t>
      </w:r>
    </w:p>
    <w:p w14:paraId="27E9A82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A银行</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B银行</w:t>
      </w: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甲企业</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乙企业</w:t>
      </w:r>
    </w:p>
    <w:p w14:paraId="0D80FCA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BC</w:t>
      </w:r>
      <w:r>
        <w:rPr>
          <w:rFonts w:ascii="微软雅黑" w:hAnsi="微软雅黑" w:eastAsia="微软雅黑" w:cs="微软雅黑"/>
          <w:i w:val="0"/>
          <w:iCs w:val="0"/>
          <w:caps w:val="0"/>
          <w:color w:val="44484D"/>
          <w:spacing w:val="0"/>
          <w:sz w:val="21"/>
          <w:szCs w:val="21"/>
          <w:shd w:val="clear" w:fill="FFFFFF"/>
        </w:rPr>
        <w:t>1）采用委托贷款方式书立的借款合同纳税人，为受托人（B银行）和借款人（甲企业），不包括委托人（A银行）；（2）立合同人，应为对应税合同有直接权利义务关系的单位和个人，不包括合同的担保人（乙企业）、证人、鉴定人，不包括合同当事人的代理人。</w:t>
      </w:r>
    </w:p>
    <w:p w14:paraId="636DB0D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6.</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根据税收征收管理法律的规定，下列各项中，属于税务机关税款征收权的有（　　）。</w:t>
      </w:r>
    </w:p>
    <w:p w14:paraId="77D6169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追征税款权</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税务检查权</w:t>
      </w: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依法计征权</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核定税款权</w:t>
      </w:r>
    </w:p>
    <w:p w14:paraId="4BD8D9E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ACD</w:t>
      </w:r>
      <w:r>
        <w:rPr>
          <w:rFonts w:ascii="微软雅黑" w:hAnsi="微软雅黑" w:eastAsia="微软雅黑" w:cs="微软雅黑"/>
          <w:i w:val="0"/>
          <w:iCs w:val="0"/>
          <w:caps w:val="0"/>
          <w:color w:val="44484D"/>
          <w:spacing w:val="0"/>
          <w:sz w:val="21"/>
          <w:szCs w:val="21"/>
          <w:shd w:val="clear" w:fill="FFFFFF"/>
        </w:rPr>
        <w:t>税款征收权与税务检查权（选项B）都属于税务行政管理权的内容。税款征收权是征税主体享有的最基本、最主要的职权，包括依法计征权、核定税款权、税收保全和强制执行权，追征税款权。</w:t>
      </w:r>
    </w:p>
    <w:p w14:paraId="09BC0C0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7.</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根据资源税法律制度的规定，下列各项中，属于资源税纳税人的有（　　）。</w:t>
      </w:r>
    </w:p>
    <w:p w14:paraId="1149E9C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出口煤炭的煤场</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进口原油的贸易公司</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销售食盐的超市</w:t>
      </w:r>
    </w:p>
    <w:p w14:paraId="1E9FB2BE">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在境内开采铜矿的矿业公司</w:t>
      </w:r>
    </w:p>
    <w:p w14:paraId="187609E6">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AD</w:t>
      </w:r>
      <w:r>
        <w:rPr>
          <w:rFonts w:ascii="微软雅黑" w:hAnsi="微软雅黑" w:eastAsia="微软雅黑" w:cs="微软雅黑"/>
          <w:i w:val="0"/>
          <w:iCs w:val="0"/>
          <w:caps w:val="0"/>
          <w:color w:val="44484D"/>
          <w:spacing w:val="0"/>
          <w:sz w:val="21"/>
          <w:szCs w:val="21"/>
          <w:shd w:val="clear" w:fill="FFFFFF"/>
        </w:rPr>
        <w:t>资源税的纳税人，是指在中华人民共和国领域和中华人民共和国管辖的其他海域开发应税资源的单位和个人。进口应税资源不缴纳资源税。</w:t>
      </w:r>
    </w:p>
    <w:p w14:paraId="7D744FE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8.</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根据劳动合同法律制度的规定，下列各项中，属于用人单位订立劳动合同时应当承担的义务的有（　　）。</w:t>
      </w:r>
    </w:p>
    <w:p w14:paraId="0AA63E3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不得扣押劳动者相关证件</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不得向劳动者索取财物</w:t>
      </w:r>
    </w:p>
    <w:p w14:paraId="31653FB7">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不得要求劳动者提供担保</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告知劳动者工作内容、工作条件、工作地点、职业危害、安全生产状况、劳动报酬等情况</w:t>
      </w:r>
    </w:p>
    <w:p w14:paraId="7D1F63F0">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ABCD</w:t>
      </w:r>
      <w:r>
        <w:rPr>
          <w:rFonts w:ascii="微软雅黑" w:hAnsi="微软雅黑" w:eastAsia="微软雅黑" w:cs="微软雅黑"/>
          <w:i w:val="0"/>
          <w:iCs w:val="0"/>
          <w:caps w:val="0"/>
          <w:color w:val="44484D"/>
          <w:spacing w:val="0"/>
          <w:sz w:val="21"/>
          <w:szCs w:val="21"/>
          <w:shd w:val="clear" w:fill="FFFFFF"/>
        </w:rPr>
        <w:t>选项ABCD 均属于用人单位订立劳动合同时应当承担的义务。</w:t>
      </w:r>
    </w:p>
    <w:p w14:paraId="07EC990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9.</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根据支付结算法律制度的规定，下列关于公示催告的表述中，正确的有（　　）。</w:t>
      </w:r>
    </w:p>
    <w:p w14:paraId="1CD8971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申请公示催告的主体必须是可以背书转让的票据的最后持票人</w:t>
      </w:r>
    </w:p>
    <w:p w14:paraId="72274F1B">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公告期间不得少于60日，公示催告期间届满日可以早于票据付款日后15日</w:t>
      </w:r>
    </w:p>
    <w:p w14:paraId="5C8E7A6D">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在公示催告期间，以公示催告的票据贴现、质押，因贴现、质押而接受该票据的持票人主张票据权利的，人民法院不予支持</w:t>
      </w:r>
    </w:p>
    <w:p w14:paraId="27534224">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在公示催告期间，转让票据权利的行为无效</w:t>
      </w:r>
    </w:p>
    <w:p w14:paraId="50F9D9A4">
      <w:pPr>
        <w:keepNext w:val="0"/>
        <w:keepLines w:val="0"/>
        <w:widowControl/>
        <w:suppressLineNumbers w:val="0"/>
        <w:spacing w:before="0" w:beforeAutospacing="0" w:after="0" w:afterAutospacing="0"/>
        <w:ind w:left="0" w:right="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ACD</w:t>
      </w:r>
      <w:r>
        <w:rPr>
          <w:rFonts w:ascii="微软雅黑" w:hAnsi="微软雅黑" w:eastAsia="微软雅黑" w:cs="微软雅黑"/>
          <w:i w:val="0"/>
          <w:iCs w:val="0"/>
          <w:caps w:val="0"/>
          <w:color w:val="44484D"/>
          <w:spacing w:val="0"/>
          <w:sz w:val="21"/>
          <w:szCs w:val="21"/>
          <w:shd w:val="clear" w:fill="FFFFFF"/>
        </w:rPr>
        <w:t>选项B：公告期间不得少于60日，且公示催告期间届满日不得早于票据付款日后15日。</w:t>
      </w:r>
    </w:p>
    <w:p w14:paraId="02B50C2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10.</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根据企业所得税法律制度的规定，下列关于企业所得税纳税期限的表述中，正确的有（　　）。</w:t>
      </w:r>
    </w:p>
    <w:p w14:paraId="7D035B5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企业所得税按年计征，分月或者分季预缴，年终汇算清缴，多退少补</w:t>
      </w:r>
    </w:p>
    <w:p w14:paraId="5A9D715A">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企业在一个纳税年度中间开业，使该纳税年度的实际经营不足12 个月的，应当以其实际经营期为1 个纳税年度</w:t>
      </w:r>
    </w:p>
    <w:p w14:paraId="62B608E9">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企业依法清算时，应当以清算期作为1 个纳税年度</w:t>
      </w:r>
    </w:p>
    <w:p w14:paraId="1DEC338F">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企业在纳税年度中间终止经营活动的，应当自实际经营终止之日起90日内，向税务机关办理当期企业所得税汇算清缴</w:t>
      </w:r>
    </w:p>
    <w:p w14:paraId="67F0C63C">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ABC</w:t>
      </w:r>
      <w:r>
        <w:rPr>
          <w:rFonts w:ascii="微软雅黑" w:hAnsi="微软雅黑" w:eastAsia="微软雅黑" w:cs="微软雅黑"/>
          <w:i w:val="0"/>
          <w:iCs w:val="0"/>
          <w:caps w:val="0"/>
          <w:color w:val="44484D"/>
          <w:spacing w:val="0"/>
          <w:sz w:val="21"/>
          <w:szCs w:val="21"/>
          <w:shd w:val="clear" w:fill="FFFFFF"/>
        </w:rPr>
        <w:t>选项D：企业在纳税年度中间终止经营活动的，汇算清缴的期限为自实际经</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营终止之日起60日内。</w:t>
      </w:r>
    </w:p>
    <w:p w14:paraId="6809DF6A">
      <w:pPr>
        <w:keepNext w:val="0"/>
        <w:keepLines w:val="0"/>
        <w:widowControl/>
        <w:numPr>
          <w:ilvl w:val="0"/>
          <w:numId w:val="1"/>
        </w:numPr>
        <w:suppressLineNumbers w:val="0"/>
        <w:spacing w:before="0" w:beforeAutospacing="0" w:after="0" w:afterAutospacing="0"/>
        <w:ind w:left="0" w:leftChars="0" w:right="0" w:firstLine="0" w:firstLineChars="0"/>
        <w:jc w:val="left"/>
        <w:rPr>
          <w:rFonts w:hint="eastAsia" w:ascii="微软雅黑" w:hAnsi="微软雅黑" w:eastAsia="微软雅黑" w:cs="微软雅黑"/>
          <w:i w:val="0"/>
          <w:iCs w:val="0"/>
          <w:caps w:val="0"/>
          <w:color w:val="44484D"/>
          <w:spacing w:val="0"/>
          <w:sz w:val="21"/>
          <w:szCs w:val="21"/>
          <w:shd w:val="clear" w:fill="FFFFFF"/>
          <w:lang w:val="en-US" w:eastAsia="zh-CN"/>
        </w:rPr>
      </w:pPr>
      <w:r>
        <w:rPr>
          <w:rFonts w:hint="eastAsia" w:ascii="微软雅黑" w:hAnsi="微软雅黑" w:eastAsia="微软雅黑" w:cs="微软雅黑"/>
          <w:i w:val="0"/>
          <w:iCs w:val="0"/>
          <w:caps w:val="0"/>
          <w:color w:val="44484D"/>
          <w:spacing w:val="0"/>
          <w:sz w:val="21"/>
          <w:szCs w:val="21"/>
          <w:shd w:val="clear" w:fill="FFFFFF"/>
          <w:lang w:val="en-US" w:eastAsia="zh-CN"/>
        </w:rPr>
        <w:t>判断题</w:t>
      </w:r>
    </w:p>
    <w:p w14:paraId="704D6F0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纳税人履行纳税义务，既可以作为法律关系的内容，也可以作为法律关系的客体。 （　　）</w:t>
      </w:r>
    </w:p>
    <w:p w14:paraId="00A62A3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正确</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错误</w:t>
      </w:r>
    </w:p>
    <w:p w14:paraId="683D3AC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w:t>
      </w:r>
      <w:r>
        <w:rPr>
          <w:rFonts w:ascii="微软雅黑" w:hAnsi="微软雅黑" w:eastAsia="微软雅黑" w:cs="微软雅黑"/>
          <w:i w:val="0"/>
          <w:iCs w:val="0"/>
          <w:caps w:val="0"/>
          <w:color w:val="44484D"/>
          <w:spacing w:val="0"/>
          <w:sz w:val="21"/>
          <w:szCs w:val="21"/>
          <w:shd w:val="clear" w:fill="FFFFFF"/>
        </w:rPr>
        <w:t>履行纳税义务，属于积极义务，也是积极行为，因此既可以作为法律关系的内容，也可以作为法律关系的客体。</w:t>
      </w:r>
    </w:p>
    <w:p w14:paraId="1820B68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2.自然人不可以在异地开立个人银行结算账户。 （　　）</w:t>
      </w:r>
    </w:p>
    <w:p w14:paraId="4E50A499">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正确</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错误</w:t>
      </w:r>
    </w:p>
    <w:p w14:paraId="69FC3DF9">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自然人根据需要可以在异地开具个人银行结算账户。存款人需要在异地开立个人银行结算账户，应出具在住所地开立账户所需的证明文件。</w:t>
      </w:r>
    </w:p>
    <w:p w14:paraId="1DE061E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3.</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以涂改、拼接、挖补等手段来改变会计凭证和会计账簿的真实内容，以歪曲事实真相的行为，属于伪造会计资料。 （　　）</w:t>
      </w:r>
    </w:p>
    <w:p w14:paraId="0C5A289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正确</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错误</w:t>
      </w:r>
    </w:p>
    <w:p w14:paraId="6717017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以涂改、拼接、挖补等手段来改变会计凭证和会计账簿的真实内容，以歪曲事实真相的行为，属于变造会计资料。</w:t>
      </w:r>
    </w:p>
    <w:p w14:paraId="44AA629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4.</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舞台、戏剧、影视演员化妆用的上妆油、卸妆油、油彩，属于消费税的征收范围。 （　　）</w:t>
      </w:r>
    </w:p>
    <w:p w14:paraId="7E1587E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正确</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错误</w:t>
      </w:r>
    </w:p>
    <w:p w14:paraId="755E25B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舞台、戏剧、影视演员化妆用的上妆油、卸妆油、油彩，不属于消费税的征收范围。</w:t>
      </w:r>
    </w:p>
    <w:p w14:paraId="5D66A0D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5.</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根据印花税法律制度的规定，未履行的应税合同、产权转移书据，已缴纳的印花税不予退还及抵缴税款。 （　　）</w:t>
      </w:r>
    </w:p>
    <w:p w14:paraId="54ADF14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正确</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错误</w:t>
      </w:r>
    </w:p>
    <w:p w14:paraId="5755C73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w:t>
      </w:r>
    </w:p>
    <w:p w14:paraId="10FAF37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6.环境保护税实行比例税率。 （　　）</w:t>
      </w:r>
    </w:p>
    <w:p w14:paraId="01DF34B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正确</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错误</w:t>
      </w:r>
    </w:p>
    <w:p w14:paraId="6589BF0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环境保护税实行定额税率。</w:t>
      </w:r>
    </w:p>
    <w:p w14:paraId="0DE4297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7.</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张某欠缴税款7 000元，由税务机关责令限期缴纳，逾期仍未缴纳，为防止国家税款流失，税务机关扣押了其一批价值7 500元的商品，准备依法进行变卖，以变卖所得抵缴税款，税务机关的做法正确。 （　　）</w:t>
      </w:r>
    </w:p>
    <w:p w14:paraId="09E32FE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正确</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错误</w:t>
      </w:r>
    </w:p>
    <w:p w14:paraId="035D0FE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扣押、查封的财产价值应相当于纳税人欠缴的应纳税款。本题税务机关应扣押其价值7 000元的商品。</w:t>
      </w:r>
    </w:p>
    <w:p w14:paraId="4BE838C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8.</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国有企业应当至少每年一次向本企业的职工代表大会公布财务会计报告。 （　　）</w:t>
      </w:r>
    </w:p>
    <w:p w14:paraId="523FE81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正确</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错误</w:t>
      </w:r>
    </w:p>
    <w:p w14:paraId="240838C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w:t>
      </w:r>
    </w:p>
    <w:p w14:paraId="42EECD7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9.</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个人综合所得中专项扣除、专项附加扣除和依法确定的其他扣除一个纳税年度扣除不完的，可以结转以后年度扣除。 （　　）</w:t>
      </w:r>
    </w:p>
    <w:p w14:paraId="1529155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正确</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错误</w:t>
      </w:r>
    </w:p>
    <w:p w14:paraId="6B172CA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专项扣除、专项附加扣除和依法确定的其他扣除，以居民个人一个纳税年度的应纳税所得额为限额。一个纳税年度扣除不完的，“不结转”以后年度扣除。</w:t>
      </w:r>
    </w:p>
    <w:p w14:paraId="7E1B921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10.</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劳动合同仅约定试用期没有约定劳动合同期限的，劳动合同无效。 （　　）</w:t>
      </w:r>
    </w:p>
    <w:p w14:paraId="2E2D219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正确</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错误</w:t>
      </w:r>
    </w:p>
    <w:p w14:paraId="3FDA068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w:t>
      </w:r>
      <w:r>
        <w:rPr>
          <w:rFonts w:ascii="微软雅黑" w:hAnsi="微软雅黑" w:eastAsia="微软雅黑" w:cs="微软雅黑"/>
          <w:i w:val="0"/>
          <w:iCs w:val="0"/>
          <w:caps w:val="0"/>
          <w:color w:val="44484D"/>
          <w:spacing w:val="0"/>
          <w:sz w:val="21"/>
          <w:szCs w:val="21"/>
          <w:shd w:val="clear" w:fill="FFFFFF"/>
        </w:rPr>
        <w:t>劳动合同“仅约定”试用期的，试用期不成立，该期限为劳动合同期限。</w:t>
      </w:r>
    </w:p>
    <w:p w14:paraId="48D2EDEC">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firstLine="0" w:firstLineChars="0"/>
        <w:jc w:val="left"/>
        <w:rPr>
          <w:rFonts w:hint="eastAsia" w:ascii="微软雅黑" w:hAnsi="微软雅黑" w:eastAsia="微软雅黑" w:cs="微软雅黑"/>
          <w:i w:val="0"/>
          <w:iCs w:val="0"/>
          <w:caps w:val="0"/>
          <w:color w:val="44484D"/>
          <w:spacing w:val="0"/>
          <w:sz w:val="21"/>
          <w:szCs w:val="21"/>
          <w:shd w:val="clear" w:fill="FFFFFF"/>
          <w:lang w:val="en-US" w:eastAsia="zh-CN"/>
        </w:rPr>
      </w:pPr>
      <w:r>
        <w:rPr>
          <w:rFonts w:hint="eastAsia" w:ascii="微软雅黑" w:hAnsi="微软雅黑" w:eastAsia="微软雅黑" w:cs="微软雅黑"/>
          <w:i w:val="0"/>
          <w:iCs w:val="0"/>
          <w:caps w:val="0"/>
          <w:color w:val="44484D"/>
          <w:spacing w:val="0"/>
          <w:sz w:val="21"/>
          <w:szCs w:val="21"/>
          <w:shd w:val="clear" w:fill="FFFFFF"/>
          <w:lang w:val="en-US" w:eastAsia="zh-CN"/>
        </w:rPr>
        <w:t>不定项选择题</w:t>
      </w:r>
    </w:p>
    <w:p w14:paraId="15A2FDB3">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hint="eastAsia" w:ascii="微软雅黑" w:hAnsi="微软雅黑" w:eastAsia="微软雅黑" w:cs="微软雅黑"/>
          <w:i w:val="0"/>
          <w:iCs w:val="0"/>
          <w:caps w:val="0"/>
          <w:color w:val="44484D"/>
          <w:spacing w:val="0"/>
          <w:sz w:val="21"/>
          <w:szCs w:val="21"/>
          <w:shd w:val="clear" w:fill="FFFFFF"/>
        </w:rPr>
      </w:pPr>
      <w:r>
        <w:rPr>
          <w:rFonts w:ascii="微软雅黑" w:hAnsi="微软雅黑" w:eastAsia="微软雅黑" w:cs="微软雅黑"/>
          <w:i w:val="0"/>
          <w:iCs w:val="0"/>
          <w:caps w:val="0"/>
          <w:color w:val="44484D"/>
          <w:spacing w:val="0"/>
          <w:sz w:val="21"/>
          <w:szCs w:val="21"/>
          <w:shd w:val="clear" w:fill="FFFFFF"/>
        </w:rPr>
        <w:t>2025年2月，青城公司会计机构负责人组织会计人员对纸质及电子会计资料进行整理，移交给青城公司档案管理机构。2026年2月，青城公司档案管理机构负责人组织相关机构对已经到保管期限的会计档案进行鉴定。对确无保存价值可以销毁的会计档案，由档案管理员编制会计档案销毁清册，经相关人员签署意见后销毁。</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要求：根据上述资料，不考虑其他因素，分析回答下列小题。</w:t>
      </w:r>
    </w:p>
    <w:p w14:paraId="67A193D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青城公司下列会计资料中，应当按照会计档案归档的是（　　）。</w:t>
      </w:r>
    </w:p>
    <w:p w14:paraId="3A975B1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纳税申报表</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财务会计报表</w:t>
      </w: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年度财务会计报告</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银行对账单</w:t>
      </w:r>
    </w:p>
    <w:p w14:paraId="73BD000A">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50" w:beforeAutospacing="0" w:after="0" w:afterAutospacing="0"/>
        <w:ind w:left="0" w:right="0" w:firstLine="0"/>
        <w:jc w:val="left"/>
        <w:rPr>
          <w:rFonts w:ascii="微软雅黑" w:hAnsi="微软雅黑" w:eastAsia="微软雅黑" w:cs="微软雅黑"/>
          <w:b/>
          <w:bCs/>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ABCD</w:t>
      </w:r>
      <w:r>
        <w:rPr>
          <w:rFonts w:hint="eastAsia" w:ascii="微软雅黑" w:hAnsi="微软雅黑" w:eastAsia="微软雅黑" w:cs="微软雅黑"/>
          <w:b/>
          <w:bCs/>
          <w:i w:val="0"/>
          <w:iCs w:val="0"/>
          <w:caps w:val="0"/>
          <w:color w:val="44484D"/>
          <w:spacing w:val="0"/>
          <w:kern w:val="0"/>
          <w:sz w:val="21"/>
          <w:szCs w:val="21"/>
          <w:bdr w:val="none" w:color="auto" w:sz="0" w:space="0"/>
          <w:shd w:val="clear" w:fill="FFFFFF"/>
          <w:lang w:val="en-US" w:eastAsia="zh-CN" w:bidi="ar"/>
        </w:rPr>
        <w:t>会计凭证、会计账簿、财务会计报告（选项BC）和其他会计资料，包括银行存款余额调节表、银行对账单（选项D）、纳税申报表（选项A）、会计档案移交清册、会计档</w:t>
      </w:r>
      <w:r>
        <w:rPr>
          <w:rFonts w:hint="eastAsia" w:ascii="微软雅黑" w:hAnsi="微软雅黑" w:eastAsia="微软雅黑" w:cs="微软雅黑"/>
          <w:b/>
          <w:bCs/>
          <w:i w:val="0"/>
          <w:iCs w:val="0"/>
          <w:caps w:val="0"/>
          <w:color w:val="44484D"/>
          <w:spacing w:val="0"/>
          <w:kern w:val="0"/>
          <w:sz w:val="21"/>
          <w:szCs w:val="21"/>
          <w:bdr w:val="none" w:color="auto" w:sz="0" w:space="0"/>
          <w:shd w:val="clear" w:fill="FFFFFF"/>
          <w:lang w:val="en-US" w:eastAsia="zh-CN" w:bidi="ar"/>
        </w:rPr>
        <w:br w:type="textWrapping"/>
      </w:r>
      <w:r>
        <w:rPr>
          <w:rFonts w:hint="eastAsia" w:ascii="微软雅黑" w:hAnsi="微软雅黑" w:eastAsia="微软雅黑" w:cs="微软雅黑"/>
          <w:b/>
          <w:bCs/>
          <w:i w:val="0"/>
          <w:iCs w:val="0"/>
          <w:caps w:val="0"/>
          <w:color w:val="44484D"/>
          <w:spacing w:val="0"/>
          <w:kern w:val="0"/>
          <w:sz w:val="21"/>
          <w:szCs w:val="21"/>
          <w:bdr w:val="none" w:color="auto" w:sz="0" w:space="0"/>
          <w:shd w:val="clear" w:fill="FFFFFF"/>
          <w:lang w:val="en-US" w:eastAsia="zh-CN" w:bidi="ar"/>
        </w:rPr>
        <w:t>案保管清册、会计档案销毁清册、会计档案鉴定意见书及其他具有保存价值的会计资料，均应归档。</w:t>
      </w:r>
    </w:p>
    <w:p w14:paraId="1F2ECE1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2.</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除档案管理机构经办人外，还应当在会计档案销毁清册上签署意见的是（　　）。</w:t>
      </w:r>
    </w:p>
    <w:p w14:paraId="765011C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A.单位负责人</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档案管理机构负责人</w:t>
      </w: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会计机构经办人</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会计机构负责人</w:t>
      </w:r>
    </w:p>
    <w:p w14:paraId="0EC7948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ABCD单位负责人（选项A）、档案管理机构负责人（选项B）、会计管理机构负责人（选项D）、档案管理机构经办人、会计管理机构经办人（选项C）在会计档案销毁清册上签署意见。</w:t>
      </w:r>
    </w:p>
    <w:p w14:paraId="01FB12F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3.</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关于青城公司会计机构移交会计档案的下列表述中，正确的是（　　）</w:t>
      </w:r>
    </w:p>
    <w:p w14:paraId="1AAEF79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纸质会计档案移交时应当拆封整理重新封装</w:t>
      </w:r>
    </w:p>
    <w:p w14:paraId="0359D826">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接收电子会计档案时应当对其准确性、完整性、可用性、安全性进行检测</w:t>
      </w:r>
    </w:p>
    <w:p w14:paraId="08D79D48">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电子会计档案移交时应当将电子档案及其元数据一并移交</w:t>
      </w:r>
    </w:p>
    <w:p w14:paraId="44DCC8B1">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应当编制会计档案移交清册</w:t>
      </w:r>
    </w:p>
    <w:p w14:paraId="0C4E4BEF">
      <w:pPr>
        <w:keepNext w:val="0"/>
        <w:keepLines w:val="0"/>
        <w:widowControl/>
        <w:suppressLineNumbers w:val="0"/>
        <w:spacing w:before="0" w:beforeAutospacing="0" w:after="0" w:afterAutospacing="0"/>
        <w:ind w:left="0" w:right="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BCD选项A：纸质会计档案移交时应当保持原卷的封装。</w:t>
      </w:r>
    </w:p>
    <w:p w14:paraId="2F9224E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关于青城公司对会计档案鉴定的下列表述中，正确的是（　　）。</w:t>
      </w:r>
    </w:p>
    <w:p w14:paraId="325CFB0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会计档案鉴定工作应当由单位会计机构牵头</w:t>
      </w:r>
    </w:p>
    <w:p w14:paraId="539FE80E">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会计档案鉴定工作由会计、审计、纪检监察、档案管理等机构或人员共同进行</w:t>
      </w:r>
    </w:p>
    <w:p w14:paraId="6957438E">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应当定期对已到保管期限的会计档案进行鉴定</w:t>
      </w:r>
    </w:p>
    <w:p w14:paraId="13CDD6AF">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鉴定后认为仍需继续保存的会计档案，应当重新划定保存期限</w:t>
      </w:r>
    </w:p>
    <w:p w14:paraId="2767A794">
      <w:pPr>
        <w:keepNext w:val="0"/>
        <w:keepLines w:val="0"/>
        <w:widowControl/>
        <w:suppressLineNumbers w:val="0"/>
        <w:spacing w:before="0" w:beforeAutospacing="0" w:after="0" w:afterAutospacing="0"/>
        <w:ind w:left="0" w:right="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CD1）选项AB：会计档案鉴定工作应当由单位档案管理机构牵头，组织单位会计、审计、纪检监察等机构或人员共同进行。（2）选项CD：单位应当定期对已到保管期限的会计档案进行鉴定，并形成会计档案意见书，经鉴定，仍需继续保存的会计档案，应当重新划定保管期限，对保管期满，确无保存价值的会计档案，可以销毁。</w:t>
      </w:r>
    </w:p>
    <w:p w14:paraId="7F7703D2">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44484D"/>
          <w:spacing w:val="0"/>
          <w:sz w:val="21"/>
          <w:szCs w:val="21"/>
          <w:shd w:val="clear" w:fill="FFFFFF"/>
        </w:rPr>
      </w:pPr>
      <w:r>
        <w:rPr>
          <w:rFonts w:ascii="微软雅黑" w:hAnsi="微软雅黑" w:eastAsia="微软雅黑" w:cs="微软雅黑"/>
          <w:i w:val="0"/>
          <w:iCs w:val="0"/>
          <w:caps w:val="0"/>
          <w:color w:val="44484D"/>
          <w:spacing w:val="0"/>
          <w:sz w:val="21"/>
          <w:szCs w:val="21"/>
          <w:shd w:val="clear" w:fill="FFFFFF"/>
        </w:rPr>
        <w:t>甲公司为增值税一般纳税人，主要从事化妆品生产和销售业务，2025年10月有关经营情况如下：</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（1）进口一批高档粉底液，海关确定的关税计税价格为105万元，已缴纳关税4.25万元。</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（2）购进生产用化妆包，取得增值税专用发票注明税额15万元，支付其运输费，取得增值税专用</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发票注明税额0.6万元。因管理不善该批化妆包全部丢失。</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（3）委托加工高档口红，支付加工费，取得增值税专用发票注明税额70万元。</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（4）购进生产用酒精，取得增值税专用发票注明税额13.6万元。</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（5）销售自产成套化妆品，取得含增值税价款850万元，另收取包装物押金3.39万元。</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已知：增值税税率为13%；高档化妆品消费税税率为15%；取得的扣税凭证均符合抵扣规定。</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要求：根据上述资料，不考虑其他因素，分析回答下列小题。</w:t>
      </w:r>
    </w:p>
    <w:p w14:paraId="1A26FB1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计算甲公司进口高档粉底液应缴纳增值税额的下列算式中，正确的是（ ）。</w:t>
      </w:r>
    </w:p>
    <w:p w14:paraId="79447EC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（105 ＋ 4.25）×13%</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105÷（1 － 15%）×13%</w:t>
      </w:r>
    </w:p>
    <w:p w14:paraId="14A797AA">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（105 ＋ 4.25）÷（1 － 15%）×13%</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105×13%</w:t>
      </w:r>
    </w:p>
    <w:p w14:paraId="6C748972">
      <w:pPr>
        <w:keepNext w:val="0"/>
        <w:keepLines w:val="0"/>
        <w:widowControl/>
        <w:suppressLineNumbers w:val="0"/>
        <w:spacing w:before="0" w:beforeAutospacing="0" w:after="0" w:afterAutospacing="0"/>
        <w:ind w:left="0" w:right="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C从价计征消费税的应税消费品进口环节应纳的增值税＝（关税计税价格＋关税）÷（1 －消费税税率）× 增值税税率。</w:t>
      </w:r>
    </w:p>
    <w:p w14:paraId="1CC3AB5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2.</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甲公司的下列进项税额中，准予从销项税额中抵扣的是（ ）。</w:t>
      </w:r>
    </w:p>
    <w:p w14:paraId="485C6CA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购进生产用化妆包的进项税额15万元</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支付运输费的进项税额0.6万元</w:t>
      </w:r>
    </w:p>
    <w:p w14:paraId="623562AF">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支付加工费的进项税额70万元</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购进生产用酒精的进项税额13.6万元</w:t>
      </w:r>
    </w:p>
    <w:p w14:paraId="536FE224">
      <w:pPr>
        <w:keepNext w:val="0"/>
        <w:keepLines w:val="0"/>
        <w:widowControl/>
        <w:suppressLineNumbers w:val="0"/>
        <w:spacing w:before="0" w:beforeAutospacing="0" w:after="0" w:afterAutospacing="0"/>
        <w:ind w:left="0" w:right="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CD化妆包因“管理不善”全部丢失，对应的进项税额不得抵扣，并且因该批化妆包的运输而接受运输服务所对应的进项税额也不得抵扣。</w:t>
      </w:r>
    </w:p>
    <w:p w14:paraId="11B470B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3.</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甲公司的下列业务中，应缴纳消费税的是（ ）。</w:t>
      </w:r>
    </w:p>
    <w:p w14:paraId="7E32DEF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委托加工高档口红</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购进生产用酒精</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购进生产用化妆包</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进口高档粉底液</w:t>
      </w:r>
    </w:p>
    <w:p w14:paraId="087D5D7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AD1）酒精、化妆包并非应税消费品，“购进”亦不是消费税的纳税环节，选项BC 排除；（2）高档口红、高档粉底液，均属于应征消费税的高档化妆品，在生产销售、委托加工或进口环节缴纳消费税，选项AD应选。</w:t>
      </w:r>
    </w:p>
    <w:p w14:paraId="0131909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4.</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计算甲公司销售自产成套化妆品消费税税额的下列算式中，正确的是（ ）。</w:t>
      </w:r>
    </w:p>
    <w:p w14:paraId="0AA10C4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850÷（1 ＋ 13%）×15%</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850×15%</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［850÷（1 ＋ 13%）＋ 3.39］×15%</w:t>
      </w:r>
    </w:p>
    <w:p w14:paraId="0DC3E8CB">
      <w:pPr>
        <w:keepNext w:val="0"/>
        <w:keepLines w:val="0"/>
        <w:widowControl/>
        <w:numPr>
          <w:ilvl w:val="0"/>
          <w:numId w:val="3"/>
        </w:numPr>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（850 ＋ 3.39）÷（1 ＋ 13%）×15%</w:t>
      </w:r>
    </w:p>
    <w:p w14:paraId="228FCDDE">
      <w:pPr>
        <w:keepNext w:val="0"/>
        <w:keepLines w:val="0"/>
        <w:widowControl/>
        <w:numPr>
          <w:numId w:val="0"/>
        </w:numPr>
        <w:suppressLineNumbers w:val="0"/>
        <w:spacing w:before="0" w:beforeAutospacing="0" w:after="0" w:afterAutospacing="0"/>
        <w:ind w:right="0" w:rightChars="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A（1）本题产品为成套化妆品（非酒类产品），其对应的包装物押金收取时不缴纳消费税，选项CD 排除；（2）题目明确交代“850万元”为含增值税价款，应当作价税分离，选项A正确，选项B错误。</w:t>
      </w:r>
    </w:p>
    <w:p w14:paraId="56EB90B5">
      <w:pPr>
        <w:keepNext w:val="0"/>
        <w:keepLines w:val="0"/>
        <w:widowControl/>
        <w:numPr>
          <w:numId w:val="0"/>
        </w:numPr>
        <w:suppressLineNumbers w:val="0"/>
        <w:spacing w:before="0" w:beforeAutospacing="0" w:after="0" w:afterAutospacing="0"/>
        <w:ind w:right="0" w:rightChars="0"/>
        <w:jc w:val="left"/>
        <w:rPr>
          <w:rFonts w:hint="eastAsia" w:ascii="微软雅黑" w:hAnsi="微软雅黑" w:eastAsia="微软雅黑" w:cs="微软雅黑"/>
          <w:i w:val="0"/>
          <w:iCs w:val="0"/>
          <w:caps w:val="0"/>
          <w:color w:val="44484D"/>
          <w:spacing w:val="0"/>
          <w:sz w:val="21"/>
          <w:szCs w:val="21"/>
          <w:shd w:val="clear" w:fill="FFFFFF"/>
        </w:rPr>
      </w:pPr>
      <w:r>
        <w:rPr>
          <w:rFonts w:ascii="微软雅黑" w:hAnsi="微软雅黑" w:eastAsia="微软雅黑" w:cs="微软雅黑"/>
          <w:i w:val="0"/>
          <w:iCs w:val="0"/>
          <w:caps w:val="0"/>
          <w:color w:val="44484D"/>
          <w:spacing w:val="0"/>
          <w:sz w:val="21"/>
          <w:szCs w:val="21"/>
          <w:shd w:val="clear" w:fill="FFFFFF"/>
        </w:rPr>
        <w:t>甲公司为居民企业，主要从事建筑材料生产和销售业务。2025年有关经营情况如下：</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（1）销售收入50 000万元。</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（2）发生与生产经营活动有关的业务招待费支出480万元。</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（3）发生合理的工资、薪金支出1 000万元，发生职工福利费支出180万元、职工教育经费支出100万元、拨缴工会经费20万元。</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4）6月购进的一台运输设备已于当月投入使用，该运输设备不含增值税价值50万元，进项税额6.5万元已于当月申报抵扣；该运输设备当年计提折旧5万元，甲公司选择将该运输设备的价值一次性计入当期成本费用在计算应纳税所得额时扣除。</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（5）转让一处经营用房产，缴纳增值税10万元，城市维护建设税0.7万元，教育费附加、地方教育附加0.5万元，印花税0.1万元。</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已知：与生产经营活动有关的业务招待费支出，按照发生额的60% 扣除，但最高不得超过当年销售（营业）收入的5‰；职工福利费支出、职工教育经费支出、拨缴的工会经费，分别不超过工资薪金总额14%、8%、2% 的部分，准予在计算应纳税所得额时扣除。</w:t>
      </w:r>
      <w:r>
        <w:rPr>
          <w:rFonts w:hint="eastAsia" w:ascii="微软雅黑" w:hAnsi="微软雅黑" w:eastAsia="微软雅黑" w:cs="微软雅黑"/>
          <w:i w:val="0"/>
          <w:iCs w:val="0"/>
          <w:caps w:val="0"/>
          <w:color w:val="44484D"/>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44484D"/>
          <w:spacing w:val="0"/>
          <w:sz w:val="21"/>
          <w:szCs w:val="21"/>
          <w:shd w:val="clear" w:fill="FFFFFF"/>
        </w:rPr>
        <w:t>要求：根据上述资料，不考虑其他因素，分析回答下列小题。</w:t>
      </w:r>
    </w:p>
    <w:p w14:paraId="7A2165A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1.</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计算甲公司2025年度企业所得税应纳税所得额时，准予扣除的业务招待费支出是（ ）万元。</w:t>
      </w:r>
    </w:p>
    <w:p w14:paraId="5EF30AA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250</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288</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480</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230</w:t>
      </w:r>
    </w:p>
    <w:p w14:paraId="4C24E7F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A甲公司2025年度销售（营业）收入＝ 50 000（万元）；（2）限额1 ＝实际发生额的60% ＝ 480×60% ＝ 288（万元）；（3）限额2 ＝销售（营业）收入的5‰＝ 50 000×5‰＝250（万元）；（4）限额1 ＞限额2，税前准予扣除的业务招待费支出为250万元。</w:t>
      </w:r>
    </w:p>
    <w:p w14:paraId="32E464A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lang w:val="en-US" w:eastAsia="zh-CN"/>
        </w:rPr>
        <w:t>2.</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在计算甲公司2025年度企业所得税应纳税所得额时，准予扣除的职工福利费支出、职工教育经费支出和拨缴的工会经费支出合计为（ ）万元。</w:t>
      </w:r>
    </w:p>
    <w:p w14:paraId="0FBA4B9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260</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240</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280</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300</w:t>
      </w:r>
    </w:p>
    <w:p w14:paraId="71EF380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B准予扣除的职工福利费支出、职工教育经费支出和拨缴的工会经费合计数＝ 140 ＋ 80 ＋ 20 ＝ 240（万元）。</w:t>
      </w:r>
    </w:p>
    <w:p w14:paraId="473CC3F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3.在计算甲公司2025年度企业所得税应纳税所得额时，购进并投入使用的运输设备纳税调整减少的金额是（ ）万元。</w:t>
      </w:r>
    </w:p>
    <w:p w14:paraId="63934E2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5   </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45  </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 xml:space="preserve">50  </w:t>
      </w: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51.5</w:t>
      </w:r>
    </w:p>
    <w:p w14:paraId="6E57E53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B（1）会计上本年计提折旧5万元；（2）税法上，进项税额6.5万元已申报抵扣，设备价值50万元则选择一次性在企业所得税前扣除；（3）会计上是减少利润5万元，企业所得税上是减少应纳税所得额50万元，产生税会差异，纳税调减额＝ 50 － 5 ＝ 45（万元）。</w:t>
      </w:r>
    </w:p>
    <w:p w14:paraId="47C5C5D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b/>
          <w:bCs/>
          <w:i w:val="0"/>
          <w:iCs w:val="0"/>
          <w:caps w:val="0"/>
          <w:color w:val="44484D"/>
          <w:spacing w:val="0"/>
          <w:sz w:val="21"/>
          <w:szCs w:val="21"/>
          <w:shd w:val="clear" w:fill="FFFFFF"/>
          <w:lang w:val="en-US" w:eastAsia="zh-CN"/>
        </w:rPr>
        <w:t>4.</w:t>
      </w:r>
      <w:r>
        <w:rPr>
          <w:rFonts w:hint="eastAsia" w:ascii="微软雅黑" w:hAnsi="微软雅黑" w:eastAsia="微软雅黑" w:cs="微软雅黑"/>
          <w:i w:val="0"/>
          <w:iCs w:val="0"/>
          <w:caps w:val="0"/>
          <w:color w:val="44484D"/>
          <w:spacing w:val="0"/>
          <w:kern w:val="0"/>
          <w:sz w:val="21"/>
          <w:szCs w:val="21"/>
          <w:bdr w:val="none" w:color="auto" w:sz="0" w:space="0"/>
          <w:shd w:val="clear" w:fill="FFFFFF"/>
          <w:lang w:val="en-US" w:eastAsia="zh-CN" w:bidi="ar"/>
        </w:rPr>
        <w:t>在计算甲公司2025年度企业所得税应纳税所得额时，甲公司转让经营用房产缴纳的下列税费中，准予扣除的是（ ）。</w:t>
      </w:r>
    </w:p>
    <w:p w14:paraId="0B0DAEE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教育费附加、地方教育附加0.5万元</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城市维护建设税0.7万元</w:t>
      </w:r>
    </w:p>
    <w:p w14:paraId="67433D3F">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bdr w:val="none" w:color="auto" w:sz="0" w:space="0"/>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增值税10万元</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t>印花税0.1万元</w:t>
      </w:r>
    </w:p>
    <w:p w14:paraId="53A991CA">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bdr w:val="none" w:color="auto" w:sz="0" w:space="0"/>
          <w:shd w:val="clear" w:fill="FFFFFF"/>
          <w:lang w:val="en-US" w:eastAsia="zh-CN" w:bidi="ar"/>
        </w:rPr>
      </w:pPr>
      <w:r>
        <w:rPr>
          <w:rFonts w:hint="eastAsia" w:ascii="微软雅黑" w:hAnsi="微软雅黑" w:eastAsia="微软雅黑" w:cs="微软雅黑"/>
          <w:b/>
          <w:bCs/>
          <w:i w:val="0"/>
          <w:iCs w:val="0"/>
          <w:caps w:val="0"/>
          <w:color w:val="44484D"/>
          <w:spacing w:val="0"/>
          <w:sz w:val="21"/>
          <w:szCs w:val="21"/>
          <w:shd w:val="clear" w:fill="FFFFFF"/>
          <w:lang w:val="en-US" w:eastAsia="zh-CN"/>
        </w:rPr>
        <w:t>答案</w:t>
      </w:r>
      <w:r>
        <w:rPr>
          <w:rFonts w:ascii="微软雅黑" w:hAnsi="微软雅黑" w:eastAsia="微软雅黑" w:cs="微软雅黑"/>
          <w:b/>
          <w:bCs/>
          <w:i w:val="0"/>
          <w:iCs w:val="0"/>
          <w:caps w:val="0"/>
          <w:color w:val="44484D"/>
          <w:spacing w:val="0"/>
          <w:sz w:val="21"/>
          <w:szCs w:val="21"/>
          <w:shd w:val="clear" w:fill="FFFFFF"/>
        </w:rPr>
        <w:t>ABD选项C：缴纳的增值税、企业所得税，允许抵扣的增值税均不得在企业所得税前扣除。</w:t>
      </w:r>
      <w:bookmarkStart w:id="0" w:name="_GoBack"/>
      <w:bookmarkEnd w:id="0"/>
    </w:p>
    <w:p w14:paraId="340554D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5C23E6A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b/>
          <w:bCs/>
          <w:i w:val="0"/>
          <w:iCs w:val="0"/>
          <w:caps w:val="0"/>
          <w:color w:val="44484D"/>
          <w:spacing w:val="0"/>
          <w:sz w:val="21"/>
          <w:szCs w:val="21"/>
          <w:shd w:val="clear" w:fill="FFFFFF"/>
          <w:lang w:val="en-US" w:eastAsia="zh-CN"/>
        </w:rPr>
      </w:pPr>
    </w:p>
    <w:p w14:paraId="47CBD6FC">
      <w:pPr>
        <w:keepNext w:val="0"/>
        <w:keepLines w:val="0"/>
        <w:widowControl/>
        <w:numPr>
          <w:numId w:val="0"/>
        </w:numPr>
        <w:suppressLineNumbers w:val="0"/>
        <w:spacing w:before="0" w:beforeAutospacing="0" w:after="0" w:afterAutospacing="0"/>
        <w:ind w:right="0" w:rightChars="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799D12D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312CA475">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3DDCA5D7">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6F71F022">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3F1A89BC">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b/>
          <w:bCs/>
          <w:i w:val="0"/>
          <w:iCs w:val="0"/>
          <w:caps w:val="0"/>
          <w:color w:val="44484D"/>
          <w:spacing w:val="0"/>
          <w:sz w:val="21"/>
          <w:szCs w:val="21"/>
          <w:shd w:val="clear" w:fill="FFFFFF"/>
          <w:lang w:val="en-US" w:eastAsia="zh-CN"/>
        </w:rPr>
      </w:pPr>
    </w:p>
    <w:p w14:paraId="434FC0A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228623E1">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694E770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729A274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b/>
          <w:bCs/>
          <w:i w:val="0"/>
          <w:iCs w:val="0"/>
          <w:caps w:val="0"/>
          <w:color w:val="44484D"/>
          <w:spacing w:val="0"/>
          <w:sz w:val="21"/>
          <w:szCs w:val="21"/>
          <w:shd w:val="clear" w:fill="FFFFFF"/>
          <w:lang w:val="en-US" w:eastAsia="zh-CN"/>
        </w:rPr>
      </w:pPr>
    </w:p>
    <w:p w14:paraId="28C6C2C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54B4C1E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050DB97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b/>
          <w:bCs/>
          <w:i w:val="0"/>
          <w:iCs w:val="0"/>
          <w:caps w:val="0"/>
          <w:color w:val="44484D"/>
          <w:spacing w:val="0"/>
          <w:sz w:val="21"/>
          <w:szCs w:val="21"/>
          <w:shd w:val="clear" w:fill="FFFFFF"/>
          <w:lang w:val="en-US" w:eastAsia="zh-CN"/>
        </w:rPr>
      </w:pPr>
    </w:p>
    <w:p w14:paraId="3D9F2E9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14600ED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7D2247DB">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6D1B543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44484D"/>
          <w:spacing w:val="0"/>
          <w:sz w:val="21"/>
          <w:szCs w:val="21"/>
          <w:shd w:val="clear" w:fill="FFFFFF"/>
          <w:lang w:val="en-US" w:eastAsia="zh-CN"/>
        </w:rPr>
      </w:pPr>
    </w:p>
    <w:p w14:paraId="169FD3F4">
      <w:pPr>
        <w:keepNext w:val="0"/>
        <w:keepLines w:val="0"/>
        <w:widowControl/>
        <w:numPr>
          <w:numId w:val="0"/>
        </w:numPr>
        <w:suppressLineNumbers w:val="0"/>
        <w:spacing w:before="0" w:beforeAutospacing="0" w:after="0" w:afterAutospacing="0"/>
        <w:ind w:leftChars="0" w:right="0" w:rightChars="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715EA6B1">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34DCFB31">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173397B7">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2083B72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5078EE5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62AF745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14BFC4FB">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244A467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7412831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default" w:ascii="微软雅黑" w:hAnsi="微软雅黑" w:eastAsia="微软雅黑" w:cs="微软雅黑"/>
          <w:i w:val="0"/>
          <w:iCs w:val="0"/>
          <w:caps w:val="0"/>
          <w:color w:val="44484D"/>
          <w:spacing w:val="0"/>
          <w:sz w:val="21"/>
          <w:szCs w:val="21"/>
          <w:shd w:val="clear" w:fill="FFFFFF"/>
          <w:lang w:val="en-US" w:eastAsia="zh-CN"/>
        </w:rPr>
      </w:pPr>
    </w:p>
    <w:p w14:paraId="6F4FEC2D">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2F306966">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44484D"/>
          <w:spacing w:val="0"/>
          <w:sz w:val="21"/>
          <w:szCs w:val="21"/>
          <w:shd w:val="clear" w:fill="FFFFFF"/>
          <w:lang w:val="en-US" w:eastAsia="zh-CN"/>
        </w:rPr>
      </w:pPr>
    </w:p>
    <w:p w14:paraId="14C808D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44484D"/>
          <w:spacing w:val="0"/>
          <w:sz w:val="21"/>
          <w:szCs w:val="21"/>
          <w:shd w:val="clear" w:fill="FFFFFF"/>
          <w:lang w:val="en-US" w:eastAsia="zh-CN"/>
        </w:rPr>
      </w:pPr>
    </w:p>
    <w:p w14:paraId="3C652C2D">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67783B9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5C8E0C3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5A24E9C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44484D"/>
          <w:spacing w:val="0"/>
          <w:sz w:val="21"/>
          <w:szCs w:val="21"/>
          <w:shd w:val="clear" w:fill="FFFFFF"/>
          <w:lang w:val="en-US" w:eastAsia="zh-CN"/>
        </w:rPr>
      </w:pPr>
    </w:p>
    <w:p w14:paraId="5CE15681">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40770269">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2536CC5D">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03B2FC11">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65444D4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2178C214">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1AB55193">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29EEDC70">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3A10328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412C79D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2B2A597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67351B4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00F0770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44484D"/>
          <w:spacing w:val="0"/>
          <w:sz w:val="21"/>
          <w:szCs w:val="21"/>
          <w:shd w:val="clear" w:fill="FFFFFF"/>
        </w:rPr>
      </w:pPr>
    </w:p>
    <w:p w14:paraId="4C4C71E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44484D"/>
          <w:spacing w:val="0"/>
          <w:sz w:val="21"/>
          <w:szCs w:val="21"/>
          <w:shd w:val="clear" w:fill="FFFFFF"/>
          <w:lang w:val="en-US" w:eastAsia="zh-CN"/>
        </w:rPr>
      </w:pPr>
    </w:p>
    <w:p w14:paraId="4D27694C">
      <w:pPr>
        <w:keepNext w:val="0"/>
        <w:keepLines w:val="0"/>
        <w:widowControl/>
        <w:suppressLineNumbers w:val="0"/>
        <w:spacing w:before="0" w:beforeAutospacing="0" w:after="0" w:afterAutospacing="0"/>
        <w:ind w:left="0" w:right="0"/>
        <w:jc w:val="left"/>
        <w:rPr>
          <w:rFonts w:hint="default" w:ascii="微软雅黑" w:hAnsi="微软雅黑" w:eastAsia="微软雅黑" w:cs="微软雅黑"/>
          <w:i w:val="0"/>
          <w:iCs w:val="0"/>
          <w:caps w:val="0"/>
          <w:color w:val="44484D"/>
          <w:spacing w:val="0"/>
          <w:sz w:val="21"/>
          <w:szCs w:val="21"/>
          <w:shd w:val="clear" w:fill="FFFFFF"/>
          <w:lang w:val="en-US" w:eastAsia="zh-CN"/>
        </w:rPr>
      </w:pPr>
    </w:p>
    <w:p w14:paraId="68F0F9D8">
      <w:pPr>
        <w:numPr>
          <w:ilvl w:val="0"/>
          <w:numId w:val="0"/>
        </w:numPr>
        <w:rPr>
          <w:rFonts w:hint="default"/>
          <w:lang w:val="en-US" w:eastAsia="zh-CN"/>
        </w:rPr>
      </w:pPr>
    </w:p>
    <w:sectPr>
      <w:pgSz w:w="11906" w:h="16838"/>
      <w:pgMar w:top="590" w:right="1633" w:bottom="590" w:left="157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CB91F0"/>
    <w:multiLevelType w:val="singleLevel"/>
    <w:tmpl w:val="A1CB91F0"/>
    <w:lvl w:ilvl="0" w:tentative="0">
      <w:start w:val="1"/>
      <w:numFmt w:val="chineseCounting"/>
      <w:suff w:val="nothing"/>
      <w:lvlText w:val="%1、"/>
      <w:lvlJc w:val="left"/>
      <w:rPr>
        <w:rFonts w:hint="eastAsia"/>
      </w:rPr>
    </w:lvl>
  </w:abstractNum>
  <w:abstractNum w:abstractNumId="1">
    <w:nsid w:val="210C20FF"/>
    <w:multiLevelType w:val="singleLevel"/>
    <w:tmpl w:val="210C20FF"/>
    <w:lvl w:ilvl="0" w:tentative="0">
      <w:start w:val="1"/>
      <w:numFmt w:val="upperLetter"/>
      <w:lvlText w:val="%1."/>
      <w:lvlJc w:val="left"/>
      <w:pPr>
        <w:tabs>
          <w:tab w:val="left" w:pos="312"/>
        </w:tabs>
      </w:pPr>
    </w:lvl>
  </w:abstractNum>
  <w:abstractNum w:abstractNumId="2">
    <w:nsid w:val="5854A256"/>
    <w:multiLevelType w:val="singleLevel"/>
    <w:tmpl w:val="5854A256"/>
    <w:lvl w:ilvl="0" w:tentative="0">
      <w:start w:val="4"/>
      <w:numFmt w:val="upperLetter"/>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CC4E07"/>
    <w:rsid w:val="00510550"/>
    <w:rsid w:val="00A6594C"/>
    <w:rsid w:val="00EA461C"/>
    <w:rsid w:val="02DD4275"/>
    <w:rsid w:val="02F11732"/>
    <w:rsid w:val="03622A5E"/>
    <w:rsid w:val="03EA3B07"/>
    <w:rsid w:val="0524505A"/>
    <w:rsid w:val="060A6AD0"/>
    <w:rsid w:val="06427ADE"/>
    <w:rsid w:val="070E27FE"/>
    <w:rsid w:val="09475716"/>
    <w:rsid w:val="09A624C1"/>
    <w:rsid w:val="09D33CC3"/>
    <w:rsid w:val="0A825D03"/>
    <w:rsid w:val="0ACC485F"/>
    <w:rsid w:val="0ADF454E"/>
    <w:rsid w:val="0DC36DF4"/>
    <w:rsid w:val="0DEC5CEE"/>
    <w:rsid w:val="0E2C1C35"/>
    <w:rsid w:val="0EAC1DBE"/>
    <w:rsid w:val="0EE11B9F"/>
    <w:rsid w:val="0EE75E57"/>
    <w:rsid w:val="0F9D5DB2"/>
    <w:rsid w:val="11867D11"/>
    <w:rsid w:val="11B147AE"/>
    <w:rsid w:val="11C44419"/>
    <w:rsid w:val="14B10A93"/>
    <w:rsid w:val="15D217A7"/>
    <w:rsid w:val="16325C9C"/>
    <w:rsid w:val="16DF5853"/>
    <w:rsid w:val="17075018"/>
    <w:rsid w:val="17383796"/>
    <w:rsid w:val="18025ECC"/>
    <w:rsid w:val="19EC4702"/>
    <w:rsid w:val="1C0B727F"/>
    <w:rsid w:val="1C402CE9"/>
    <w:rsid w:val="1CD71641"/>
    <w:rsid w:val="1CEA4B98"/>
    <w:rsid w:val="1DAA6E18"/>
    <w:rsid w:val="1E827B75"/>
    <w:rsid w:val="1F8756D4"/>
    <w:rsid w:val="20015FB6"/>
    <w:rsid w:val="203D636C"/>
    <w:rsid w:val="209A1F4E"/>
    <w:rsid w:val="234F2594"/>
    <w:rsid w:val="237B2949"/>
    <w:rsid w:val="238B5A6D"/>
    <w:rsid w:val="24CC4E07"/>
    <w:rsid w:val="252951AB"/>
    <w:rsid w:val="25E730F0"/>
    <w:rsid w:val="260C21EF"/>
    <w:rsid w:val="27057698"/>
    <w:rsid w:val="27EA0853"/>
    <w:rsid w:val="27FE280B"/>
    <w:rsid w:val="28810900"/>
    <w:rsid w:val="2955410B"/>
    <w:rsid w:val="29D16102"/>
    <w:rsid w:val="2C3D569F"/>
    <w:rsid w:val="2EFF75C0"/>
    <w:rsid w:val="2F2D3FF0"/>
    <w:rsid w:val="30FC4781"/>
    <w:rsid w:val="337C2B8E"/>
    <w:rsid w:val="33C92492"/>
    <w:rsid w:val="399132C6"/>
    <w:rsid w:val="3A77391D"/>
    <w:rsid w:val="3CA75091"/>
    <w:rsid w:val="3E1F2215"/>
    <w:rsid w:val="3E6E1492"/>
    <w:rsid w:val="3E997F13"/>
    <w:rsid w:val="3EF406E9"/>
    <w:rsid w:val="3FBA1AEB"/>
    <w:rsid w:val="40AF0544"/>
    <w:rsid w:val="41550646"/>
    <w:rsid w:val="4645375E"/>
    <w:rsid w:val="47A65E2B"/>
    <w:rsid w:val="48A43B3E"/>
    <w:rsid w:val="49746789"/>
    <w:rsid w:val="497A24E5"/>
    <w:rsid w:val="49B32846"/>
    <w:rsid w:val="4F807D78"/>
    <w:rsid w:val="50BB2978"/>
    <w:rsid w:val="52656676"/>
    <w:rsid w:val="54B26CE6"/>
    <w:rsid w:val="54DB5013"/>
    <w:rsid w:val="55EC7395"/>
    <w:rsid w:val="568022D3"/>
    <w:rsid w:val="56AD2FF2"/>
    <w:rsid w:val="573945F7"/>
    <w:rsid w:val="573B512D"/>
    <w:rsid w:val="576F02BD"/>
    <w:rsid w:val="577120B4"/>
    <w:rsid w:val="594062F4"/>
    <w:rsid w:val="59816ED7"/>
    <w:rsid w:val="5A9E5006"/>
    <w:rsid w:val="5AEC017A"/>
    <w:rsid w:val="5CC34F6C"/>
    <w:rsid w:val="5DFE5C52"/>
    <w:rsid w:val="5EE76A72"/>
    <w:rsid w:val="5F2A4EC0"/>
    <w:rsid w:val="5F7D0C6B"/>
    <w:rsid w:val="619A779F"/>
    <w:rsid w:val="629C7113"/>
    <w:rsid w:val="64294BC9"/>
    <w:rsid w:val="643007E6"/>
    <w:rsid w:val="65A11F09"/>
    <w:rsid w:val="65D150DB"/>
    <w:rsid w:val="65ED7AD7"/>
    <w:rsid w:val="66D41970"/>
    <w:rsid w:val="67E630A9"/>
    <w:rsid w:val="6A0E6237"/>
    <w:rsid w:val="6AA84736"/>
    <w:rsid w:val="6AF67A92"/>
    <w:rsid w:val="6C37484A"/>
    <w:rsid w:val="6CA901D5"/>
    <w:rsid w:val="6D627FAF"/>
    <w:rsid w:val="6F715770"/>
    <w:rsid w:val="6FCD7C56"/>
    <w:rsid w:val="7199217D"/>
    <w:rsid w:val="72C95C5B"/>
    <w:rsid w:val="73285B4D"/>
    <w:rsid w:val="73BA39AD"/>
    <w:rsid w:val="73DF3CB6"/>
    <w:rsid w:val="73E644E2"/>
    <w:rsid w:val="75205465"/>
    <w:rsid w:val="75615EE4"/>
    <w:rsid w:val="75D7370F"/>
    <w:rsid w:val="75FF3A13"/>
    <w:rsid w:val="760F2DF6"/>
    <w:rsid w:val="77335663"/>
    <w:rsid w:val="77A028A6"/>
    <w:rsid w:val="77BC51B5"/>
    <w:rsid w:val="78046DF6"/>
    <w:rsid w:val="78764386"/>
    <w:rsid w:val="799F08B0"/>
    <w:rsid w:val="7AFB4F2A"/>
    <w:rsid w:val="7D096606"/>
    <w:rsid w:val="7D241559"/>
    <w:rsid w:val="7D89592A"/>
    <w:rsid w:val="7DE13BCC"/>
    <w:rsid w:val="7EEC0AC6"/>
    <w:rsid w:val="7FC46E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1653</Words>
  <Characters>1818</Characters>
  <Lines>0</Lines>
  <Paragraphs>0</Paragraphs>
  <TotalTime>44</TotalTime>
  <ScaleCrop>false</ScaleCrop>
  <LinksUpToDate>false</LinksUpToDate>
  <CharactersWithSpaces>1929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2026-03-31T02:44:00Z</dcterms:created>
  <dc:creator>WPS_1642583519</dc:creator>
  <cp:lastModifiedBy>WPS_1642583519</cp:lastModifiedBy>
  <dcterms:modified xsi:type="dcterms:W3CDTF">2026-03-31T08:37:10Z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BE1A6E3447C04BDBA72B77EC73F3C292_11</vt:lpwstr>
  </property>
  <property fmtid="{D5CDD505-2E9C-101B-9397-08002B2CF9AE}" pid="4" name="KSOTemplateDocerSaveRecord">
    <vt:lpwstr>eyJoZGlkIjoiZWQ5YmNmYzgxNDA5Y2JjYzE2MGY3ODUzNmYyNWQ2M2QiLCJ1c2VySWQiOiIxMzIwMzU0NTk0In0=</vt:lpwstr>
  </property>
</Properties>
</file>