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1059F">
      <w:pPr>
        <w:shd w:val="clear" w:fill="FFFFFF" w:themeFill="background1"/>
        <w:rPr>
          <w:rFonts w:hint="eastAsia"/>
          <w:sz w:val="24"/>
          <w:szCs w:val="32"/>
          <w:u w:val="none"/>
          <w:lang w:val="en-US" w:eastAsia="zh-CN"/>
        </w:rPr>
      </w:pPr>
      <w:r>
        <w:rPr>
          <w:rFonts w:hint="eastAsia"/>
          <w:sz w:val="24"/>
          <w:szCs w:val="32"/>
          <w:lang w:val="en-US" w:eastAsia="zh-CN"/>
        </w:rPr>
        <w:t>2024年《初级会计实物》模拟考试    姓名</w:t>
      </w:r>
      <w:r>
        <w:rPr>
          <w:rFonts w:hint="eastAsia"/>
          <w:sz w:val="24"/>
          <w:szCs w:val="32"/>
          <w:u w:val="single"/>
          <w:lang w:val="en-US" w:eastAsia="zh-CN"/>
        </w:rPr>
        <w:t xml:space="preserve">              </w:t>
      </w:r>
      <w:r>
        <w:rPr>
          <w:rFonts w:hint="eastAsia"/>
          <w:sz w:val="24"/>
          <w:szCs w:val="32"/>
          <w:u w:val="none"/>
          <w:lang w:val="en-US" w:eastAsia="zh-CN"/>
        </w:rPr>
        <w:t xml:space="preserve">   分数</w:t>
      </w:r>
      <w:r>
        <w:rPr>
          <w:rFonts w:hint="eastAsia"/>
          <w:sz w:val="24"/>
          <w:szCs w:val="32"/>
          <w:u w:val="single"/>
          <w:lang w:val="en-US" w:eastAsia="zh-CN"/>
        </w:rPr>
        <w:t xml:space="preserve">            </w:t>
      </w:r>
      <w:r>
        <w:rPr>
          <w:rFonts w:hint="eastAsia"/>
          <w:sz w:val="24"/>
          <w:szCs w:val="32"/>
          <w:u w:val="none"/>
          <w:lang w:val="en-US" w:eastAsia="zh-CN"/>
        </w:rPr>
        <w:t xml:space="preserve">  </w:t>
      </w:r>
    </w:p>
    <w:p w14:paraId="6D3FDB0E">
      <w:pPr>
        <w:numPr>
          <w:ilvl w:val="0"/>
          <w:numId w:val="1"/>
        </w:numPr>
        <w:shd w:val="clear" w:fill="FFFFFF" w:themeFill="background1"/>
        <w:rPr>
          <w:rFonts w:hint="eastAsia"/>
          <w:u w:val="none"/>
          <w:lang w:val="en-US" w:eastAsia="zh-CN"/>
        </w:rPr>
      </w:pPr>
      <w:r>
        <w:rPr>
          <w:rFonts w:hint="eastAsia"/>
          <w:u w:val="none"/>
          <w:lang w:val="en-US" w:eastAsia="zh-CN"/>
        </w:rPr>
        <w:t>单项选择题</w:t>
      </w:r>
    </w:p>
    <w:p w14:paraId="60755E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1.下列各项中，关于会计等式的说法正确的是（ ）。</w:t>
      </w:r>
    </w:p>
    <w:p w14:paraId="2C5448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“资产＝负债＋所有者权益”是复式记账法的理论基础</w:t>
      </w:r>
    </w:p>
    <w:p w14:paraId="111332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“资产－负债＝所有者权益”是编制资产负债表的基础</w:t>
      </w:r>
    </w:p>
    <w:p w14:paraId="75CEE1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“资产＝权益”是编制所有者权益变动表的基础</w:t>
      </w:r>
    </w:p>
    <w:p w14:paraId="66E22B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4"/>
          <w:szCs w:val="24"/>
          <w:shd w:val="clear" w:fill="DDEBF6"/>
          <w:lang w:val="en-US" w:eastAsia="zh-CN" w:bidi="ar"/>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“收入－费用＝利润”中的利润为企业的净利润</w:t>
      </w:r>
    </w:p>
    <w:p w14:paraId="663263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u w:val="none"/>
          <w:lang w:val="en-US" w:eastAsia="zh-CN"/>
        </w:rPr>
        <w:t>2.</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下列各项经济业务中，企业需要编制收款凭证的是（ ）。</w:t>
      </w:r>
    </w:p>
    <w:p w14:paraId="3E5BF2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将现金存入银行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从银行提取现金</w:t>
      </w:r>
    </w:p>
    <w:p w14:paraId="6B7A16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4"/>
          <w:szCs w:val="24"/>
          <w:shd w:val="clear" w:fill="DDEBF6"/>
          <w:lang w:val="en-US" w:eastAsia="zh-CN" w:bidi="ar"/>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支付管理人员工资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收到出差人员返回的差旅费借款</w:t>
      </w:r>
    </w:p>
    <w:p w14:paraId="6DCC00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3.</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自用房地产转为采用公允价值模式计量的投资性房地产，转换日公允价值大于原自用资产账面价值的差额计入（ ）。</w:t>
      </w:r>
    </w:p>
    <w:p w14:paraId="62E90D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4"/>
          <w:szCs w:val="24"/>
          <w:shd w:val="clear" w:fill="DDEBF6"/>
          <w:lang w:val="en-US" w:eastAsia="zh-CN" w:bidi="ar"/>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资本公积</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其他综合收益</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公允价值变动损益</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投资收益</w:t>
      </w:r>
    </w:p>
    <w:p w14:paraId="5A759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4.甲公司为增值税一般纳税人，2022年3月2日购入一台生产用机器设备，支付价款1000万元，增值税税额130万元，支付运费10万元，增值税税额0.9万元，以上均取得增值税专用发票，支付安装费5万元，保险费2万元，专业人员服务费100万元，相关人员培训费20万元，当月设备投入使用。甲公司预计该设备可以使用5年，预计净残值率为5%，采用年限平均法计提折旧，则甲公司2022年应计提的折旧为（ ）万元。</w:t>
      </w:r>
    </w:p>
    <w:p w14:paraId="5943A8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4"/>
          <w:szCs w:val="24"/>
          <w:shd w:val="clear" w:fill="DDEBF6"/>
          <w:lang w:val="en-US" w:eastAsia="zh-CN" w:bidi="ar"/>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179.52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177.82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144.9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159.17</w:t>
      </w:r>
    </w:p>
    <w:p w14:paraId="3EABCC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5.</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2022年3月1日，甲公司开始研发一项非专利技术，截至2022年4月30日研究阶段结束，累计发生研究支出230万元，2022年5月1日进入开发阶段，截至2022年11月3日开发阶段结束，累计发生开发支出330万元（其中不符合资本化条件支出30万元）。甲公司无法可靠预计该非专利技术的使用寿命，将其作为使用寿命不确定的无形资产。不考虑其他因素，该研发活动对甲公司当年损益的影响金额为（ ）万元。</w:t>
      </w:r>
    </w:p>
    <w:p w14:paraId="3A6670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230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260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330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300</w:t>
      </w:r>
    </w:p>
    <w:p w14:paraId="284719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6.</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甲公司为增值税一般纳税人，2022年2月2日将自产的产品作为职工福利发放给本单位行政管理部门员工，该产品的成本为90万元，市场售价100万元，增值税税率为13%，则该笔业务对甲公司当月损益的影响金额为（ ）万元。</w:t>
      </w:r>
    </w:p>
    <w:p w14:paraId="6DF57D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4"/>
          <w:szCs w:val="24"/>
          <w:shd w:val="clear" w:fill="DDEBF6"/>
          <w:lang w:val="en-US" w:eastAsia="zh-CN" w:bidi="ar"/>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－103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－113</w:t>
      </w:r>
    </w:p>
    <w:p w14:paraId="5CB244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7.</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某商场采用售价金额法核算库存商品，2022年5月1日，该商场库存商品进价总成本2 200万元，售价2 500万元，本月购进库存商品进价总成本2 800万元，售价3 500万元，本月销售收入为4 500万元，不考虑其他因素，月末库存商品的总成本为（ ）万元。</w:t>
      </w:r>
    </w:p>
    <w:p w14:paraId="024913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1 250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1 500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500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1 400</w:t>
      </w:r>
    </w:p>
    <w:p w14:paraId="0B4F53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pPr>
      <w:r>
        <w:rPr>
          <w:rFonts w:hint="eastAsia" w:ascii="微软雅黑" w:hAnsi="微软雅黑" w:eastAsia="微软雅黑" w:cs="微软雅黑"/>
          <w:i w:val="0"/>
          <w:iCs w:val="0"/>
          <w:caps w:val="0"/>
          <w:color w:val="333333"/>
          <w:spacing w:val="0"/>
          <w:sz w:val="21"/>
          <w:szCs w:val="21"/>
          <w:shd w:val="clear" w:fill="DDEBF6"/>
          <w:lang w:val="en-US" w:eastAsia="zh-CN"/>
        </w:rPr>
        <w:t>8.</w:t>
      </w:r>
      <w:r>
        <w:rPr>
          <w:rFonts w:ascii="微软雅黑" w:hAnsi="微软雅黑" w:eastAsia="微软雅黑" w:cs="微软雅黑"/>
          <w:i w:val="0"/>
          <w:iCs w:val="0"/>
          <w:caps w:val="0"/>
          <w:color w:val="333333"/>
          <w:spacing w:val="0"/>
          <w:sz w:val="24"/>
          <w:szCs w:val="24"/>
          <w:shd w:val="clear" w:fill="DDEBF6"/>
        </w:rPr>
        <w:t>某商场采用毛利率法计算发出存货成本。2023年4月1日，该商场甲类商品库存实际成本为6 500万元，当月入库甲类商品实际成本为7 000万元，销售额为8 750万元。甲类商品第一季度实际毛利率为20%。2023年4月30日，该商场甲类商品期末结存的实际成本为（       ）万元。</w:t>
      </w:r>
    </w:p>
    <w:p w14:paraId="2098D0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6 500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2 660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4 640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5 840</w:t>
      </w:r>
    </w:p>
    <w:p w14:paraId="52C6A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9.</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下列各项中，企业通过“应收账款”科目核算的是（ ）。</w:t>
      </w:r>
    </w:p>
    <w:p w14:paraId="6555E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代购货单位垫付的运费</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应收出租包装物的租金</w:t>
      </w:r>
    </w:p>
    <w:p w14:paraId="58F301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职工预借的差旅费</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应收的债券利息</w:t>
      </w:r>
    </w:p>
    <w:p w14:paraId="59C2FB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10.</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2022年12月1日，某企业“交易性金融资产——A上市公司股票”借方余额为1 000 000元；12月31日，A上市公司股票的公允价值为1 050 000元。不考虑其他因素，下列各项中，关于该企业持有A上市公司股票相关会计科目处理正确的是（ ）。</w:t>
      </w:r>
    </w:p>
    <w:p w14:paraId="528671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贷记“营业外收入”科目50 000元</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贷记“资本公积”科目50 000元</w:t>
      </w:r>
    </w:p>
    <w:p w14:paraId="63621E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贷记“公允价值变动损益”科目50 000元</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贷记“投资收益”科目50 000元</w:t>
      </w:r>
    </w:p>
    <w:p w14:paraId="168DA7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u w:val="none"/>
          <w:lang w:val="en-US" w:eastAsia="zh-CN"/>
        </w:rPr>
        <w:t>11.</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下列各项中，在长期股权投资成本法核算时应进行账务处理的是（ ）。</w:t>
      </w:r>
    </w:p>
    <w:p w14:paraId="786C7B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被投资单位实现净利润</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被投资单位实际发放股票股利</w:t>
      </w:r>
    </w:p>
    <w:p w14:paraId="3A22AB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被投资单位其他综合收益增加</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长期股权投资可收回金额低于其账面价值</w:t>
      </w:r>
    </w:p>
    <w:p w14:paraId="6F27C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12.</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某股份有限公司采用收购本公司股票方式减资，下列各项中，在回购本公司股份时应借记的会计科目是（ ）。</w:t>
      </w:r>
    </w:p>
    <w:p w14:paraId="57D66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股本</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资本公积</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盈余公积</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库存股</w:t>
      </w:r>
    </w:p>
    <w:p w14:paraId="3E5295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13.下列各项中，属于外来原始凭证的是（ ）。</w:t>
      </w:r>
    </w:p>
    <w:p w14:paraId="6CAD48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职工薪酬分配表</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生产产品领用材料填制的领料单</w:t>
      </w:r>
    </w:p>
    <w:p w14:paraId="15DE1B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出差取得的火车票</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预借差旅费填制的借款单</w:t>
      </w:r>
    </w:p>
    <w:p w14:paraId="66EFF8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14.</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2021年12月31日，甲公司以银行存款12 000万元外购一栋写字楼并立即出租给乙公司使用，租期5年，每年末收取租金1 000万元。该写字楼的预计使用年限为20年，预计净残值为零，采用年限平均法计提折旧。甲公司对投资性房地产采用成本模式进行后续计量。不考虑其他因素，与该写字楼相关的交易或事项对甲公司2022年度营业利润的影响金额为（ ）万元。</w:t>
      </w:r>
    </w:p>
    <w:p w14:paraId="35B725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400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600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1 000</w:t>
      </w:r>
    </w:p>
    <w:p w14:paraId="459589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15.</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下列各项中，制造业企业应计入其他业务成本的是（ ）。</w:t>
      </w:r>
    </w:p>
    <w:p w14:paraId="5B1BFB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公益性捐赠支出</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经营性出租固定资产的折旧费</w:t>
      </w:r>
    </w:p>
    <w:p w14:paraId="027F7A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存货盘亏损失</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台风造成的财产净损失</w:t>
      </w:r>
    </w:p>
    <w:p w14:paraId="17D07D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16.</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丙公司为甲、乙公司的母公司，2022年1月1日，甲公司以银行存款7 000万元取得乙公司60%有表决权的股份，另以银行存款100万元支付与该合并直接相关的中介费用，当日办妥相关股权划转手续后，甲取得对乙公司的控制权；乙公司在丙公司合并财务报表中的净资产账面价值为9 000万元。不考虑其他因素，甲公司该项长期股权投资在合并日的初始投资成本为（ ）万元。</w:t>
      </w:r>
    </w:p>
    <w:p w14:paraId="7E4AB0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7 100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7 000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5 400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5 500</w:t>
      </w:r>
    </w:p>
    <w:p w14:paraId="341423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17.</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下列各项中，不应计入销售费用的是（ ）。</w:t>
      </w:r>
    </w:p>
    <w:p w14:paraId="33178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销售商品发生的售后服务费</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销售商品的成本</w:t>
      </w:r>
    </w:p>
    <w:p w14:paraId="6E6299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推广新产品的宣传费</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专设销售机构的房屋折旧费</w:t>
      </w:r>
    </w:p>
    <w:p w14:paraId="35581C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18.</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甲公司对生产设备进行改良，发生资本化支出共计80万元，该设备原价为600万元，已计提折旧300万元，被替换旧部件的账面价值为20万元，不考虑其他因素。该设备改良后的入账价值为（ ）万元。</w:t>
      </w:r>
    </w:p>
    <w:p w14:paraId="3F6A0D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245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360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200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 .</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190</w:t>
      </w:r>
    </w:p>
    <w:p w14:paraId="3B1397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19.</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下列各项中，引起企业会计等式中资产和负债同时增加的业务是（ ）。</w:t>
      </w:r>
    </w:p>
    <w:p w14:paraId="4E4505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以银行存款偿还前欠货款</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从银行存款中提取现金备用</w:t>
      </w:r>
    </w:p>
    <w:p w14:paraId="3E4B5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收到股东投资款</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从银行取得短期借款，存入银行</w:t>
      </w:r>
    </w:p>
    <w:p w14:paraId="2D580E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20.</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乙公司均为增值税一般纳税人，甲公司委托乙公司加工一批应交消费税的半成品，收回后用于连续生产应税消费品。甲公司发出原材料实际成本200万元，支付加工费10万元、增值税1.3万元、消费税21万元。假定不考虑其他相关税费，甲公司收回该半成品的入账价值为（ ）万元。</w:t>
      </w:r>
    </w:p>
    <w:p w14:paraId="0E8EF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200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210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211.3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232.3</w:t>
      </w:r>
    </w:p>
    <w:p w14:paraId="188C9C63">
      <w:pPr>
        <w:numPr>
          <w:ilvl w:val="0"/>
          <w:numId w:val="1"/>
        </w:numPr>
        <w:shd w:val="clear" w:fill="FFFFFF" w:themeFill="background1"/>
        <w:ind w:left="0" w:leftChars="0" w:firstLine="0" w:firstLineChars="0"/>
        <w:rPr>
          <w:rFonts w:hint="eastAsia" w:ascii="微软雅黑" w:hAnsi="微软雅黑" w:eastAsia="微软雅黑" w:cs="微软雅黑"/>
          <w:i w:val="0"/>
          <w:iCs w:val="0"/>
          <w:caps w:val="0"/>
          <w:color w:val="333333"/>
          <w:spacing w:val="0"/>
          <w:sz w:val="21"/>
          <w:szCs w:val="21"/>
          <w:shd w:val="clear" w:fill="DDEBF6"/>
          <w:lang w:val="en-US" w:eastAsia="zh-CN"/>
        </w:rPr>
      </w:pPr>
      <w:r>
        <w:rPr>
          <w:rFonts w:hint="eastAsia" w:ascii="微软雅黑" w:hAnsi="微软雅黑" w:eastAsia="微软雅黑" w:cs="微软雅黑"/>
          <w:i w:val="0"/>
          <w:iCs w:val="0"/>
          <w:caps w:val="0"/>
          <w:color w:val="333333"/>
          <w:spacing w:val="0"/>
          <w:sz w:val="21"/>
          <w:szCs w:val="21"/>
          <w:shd w:val="clear" w:fill="DDEBF6"/>
          <w:lang w:val="en-US" w:eastAsia="zh-CN"/>
        </w:rPr>
        <w:t>多项选择题</w:t>
      </w:r>
    </w:p>
    <w:p w14:paraId="1B2A73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下列各项中，构成委托加工物资成本的有（ ）。</w:t>
      </w:r>
    </w:p>
    <w:p w14:paraId="0F0E90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发出材料的成本</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支付的加工费</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支付的往返运费</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支付的消费税</w:t>
      </w:r>
    </w:p>
    <w:p w14:paraId="6F9742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2.</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下列各项中，关于固定资产清查的会计表述中正确的有（ ）。</w:t>
      </w:r>
    </w:p>
    <w:p w14:paraId="52007B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企业应当定期或者至少于每年年末对固定资产进行清查盘点</w:t>
      </w:r>
    </w:p>
    <w:p w14:paraId="35D535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企业固定资产清查过程中发现盘亏净损失应当计入营业外支出</w:t>
      </w:r>
    </w:p>
    <w:p w14:paraId="03008D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企业固定资产清查发现盘盈应计入营业外收入</w:t>
      </w:r>
    </w:p>
    <w:p w14:paraId="7AED83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固定资产盘盈应按重置成本入账</w:t>
      </w:r>
    </w:p>
    <w:p w14:paraId="2EBB78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3.</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下列各项中，属于短期薪酬的有（ ）。</w:t>
      </w:r>
    </w:p>
    <w:p w14:paraId="655558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养老保险</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医疗保险</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失业保险</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工伤保险</w:t>
      </w:r>
    </w:p>
    <w:p w14:paraId="66D8D2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4.</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下列各项中，应在资产负债表中“其他应付款”项目列示的有（ ）。</w:t>
      </w:r>
    </w:p>
    <w:p w14:paraId="2FFAC9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应付包装物租金</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应付设备采购款</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应付利息</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应付股利</w:t>
      </w:r>
    </w:p>
    <w:p w14:paraId="41B7A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5.</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下列各项中，引起应收账款账面价值发生增减变化的有（ ）。</w:t>
      </w:r>
    </w:p>
    <w:p w14:paraId="3A0475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收回应收账款</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计提应收账款坏账准备</w:t>
      </w:r>
    </w:p>
    <w:p w14:paraId="0B0D10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收回已作为坏账核销的应收账款</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结转已到期未兑现的应收票据</w:t>
      </w:r>
    </w:p>
    <w:p w14:paraId="67E3EC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6.</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下列各项中，影响企业资产负债表日存货的可变现净值的有（ ）。</w:t>
      </w:r>
    </w:p>
    <w:p w14:paraId="70D182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存货的账面价值</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销售存货过程中估计的销售费用及相关税费</w:t>
      </w:r>
    </w:p>
    <w:p w14:paraId="237792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存货的估计售价</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存货至完工估计将要发生的成本</w:t>
      </w:r>
    </w:p>
    <w:p w14:paraId="343E09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7.</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下列各项中，关于企业会计信息可靠性表述正确的有（ ）。</w:t>
      </w:r>
    </w:p>
    <w:p w14:paraId="4C22FA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企业应当保持应有的谨慎，不高估资产或者收益、低估负债或费用</w:t>
      </w:r>
    </w:p>
    <w:p w14:paraId="28B8AE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企业提供的会计信息应当相互可比</w:t>
      </w:r>
    </w:p>
    <w:p w14:paraId="3BF59A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企业应当保证会计信息真实可靠、内容完整</w:t>
      </w:r>
    </w:p>
    <w:p w14:paraId="62F9F9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企业应当以实际发生的交易或事项为依据进行确认、计量、记录和报告</w:t>
      </w:r>
    </w:p>
    <w:p w14:paraId="166439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8.</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下列项目中，应通过“应收票据”核算的有（ ）。</w:t>
      </w:r>
    </w:p>
    <w:p w14:paraId="543CFB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银行汇票</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银行承兑汇票</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商业承兑汇票</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银行本票</w:t>
      </w:r>
    </w:p>
    <w:p w14:paraId="00F18E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9.</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2022年1月1日，甲公司将其一项专利技术出租，每月不含税租金10万元，租赁期2年。该无形资产于2019年3月31日研发成功并达到预定可使用状态，成本为300万元，预计使用年限为10年，预计净残值为零，采用直线法计提摊销。不考虑其他因素，下列说法正确的有（ ）。</w:t>
      </w:r>
    </w:p>
    <w:p w14:paraId="687DD8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甲公司出租无形资产取得收入应计入其他业务收入</w:t>
      </w:r>
    </w:p>
    <w:p w14:paraId="4ADB53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2022年该无形资产每月计提的摊销额应计入管理费用</w:t>
      </w:r>
    </w:p>
    <w:p w14:paraId="03BC37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该项业务对甲公司2022年度损益影响金额为120万元</w:t>
      </w:r>
    </w:p>
    <w:p w14:paraId="5DDFEC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该项业务对甲公司2022年度损益影响金额为90万元</w:t>
      </w:r>
    </w:p>
    <w:p w14:paraId="533400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10.</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下列各项中，企业应通过“资本公积”科目核算的有（ ）。</w:t>
      </w:r>
    </w:p>
    <w:p w14:paraId="443FF3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投资者实际出资额超出其在企业注册资本的所占份额</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盈余公积转增资本</w:t>
      </w:r>
    </w:p>
    <w:p w14:paraId="385FDA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注销的库存股账面余额低于所冲减股本的差额</w:t>
      </w:r>
    </w:p>
    <w:p w14:paraId="0BA035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股份有限公司溢价发行股票扣除交易费用后的股本溢价</w:t>
      </w:r>
    </w:p>
    <w:p w14:paraId="6510B44F">
      <w:pPr>
        <w:numPr>
          <w:ilvl w:val="0"/>
          <w:numId w:val="1"/>
        </w:numPr>
        <w:shd w:val="clear" w:fill="FFFFFF" w:themeFill="background1"/>
        <w:ind w:left="0" w:leftChars="0" w:firstLine="0" w:firstLineChars="0"/>
        <w:rPr>
          <w:rFonts w:hint="eastAsia" w:ascii="微软雅黑" w:hAnsi="微软雅黑" w:eastAsia="微软雅黑" w:cs="微软雅黑"/>
          <w:i w:val="0"/>
          <w:iCs w:val="0"/>
          <w:caps w:val="0"/>
          <w:color w:val="333333"/>
          <w:spacing w:val="0"/>
          <w:sz w:val="21"/>
          <w:szCs w:val="21"/>
          <w:shd w:val="clear" w:fill="DDEBF6"/>
          <w:lang w:val="en-US" w:eastAsia="zh-CN"/>
        </w:rPr>
      </w:pPr>
      <w:r>
        <w:rPr>
          <w:rFonts w:hint="eastAsia" w:ascii="微软雅黑" w:hAnsi="微软雅黑" w:eastAsia="微软雅黑" w:cs="微软雅黑"/>
          <w:i w:val="0"/>
          <w:iCs w:val="0"/>
          <w:caps w:val="0"/>
          <w:color w:val="333333"/>
          <w:spacing w:val="0"/>
          <w:sz w:val="21"/>
          <w:szCs w:val="21"/>
          <w:shd w:val="clear" w:fill="DDEBF6"/>
          <w:lang w:val="en-US" w:eastAsia="zh-CN"/>
        </w:rPr>
        <w:t>判断题</w:t>
      </w:r>
    </w:p>
    <w:p w14:paraId="140664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1.企业预付账款业务不多的情况下，在发生预付款业务时可以使用应收账款科目进行核算。（ ）</w:t>
      </w:r>
    </w:p>
    <w:p w14:paraId="783748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正确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错误</w:t>
      </w:r>
    </w:p>
    <w:p w14:paraId="1F6357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2.</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企业购入货物验收入库后，若发票账单尚未收到，应在月末按照估计的金额确认一笔负债，反映在资产负债表有关负债项目内。（ ）</w:t>
      </w:r>
    </w:p>
    <w:p w14:paraId="19CAD0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正确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错误</w:t>
      </w:r>
    </w:p>
    <w:p w14:paraId="3E016E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3.</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企业发生的辞退福利支出记入“营业外支出”科目中。（ ）</w:t>
      </w:r>
    </w:p>
    <w:p w14:paraId="75076F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正确</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错误</w:t>
      </w:r>
    </w:p>
    <w:p w14:paraId="61D9EB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4.</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企业短期经营租入固定资产应付的租金，通过“应付账款”科目核算。（ ）</w:t>
      </w:r>
    </w:p>
    <w:p w14:paraId="41707A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正确</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错误</w:t>
      </w:r>
    </w:p>
    <w:p w14:paraId="47EFAC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5.</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汇总记账凭证账务处理程序是先根据原始凭证或汇总原始凭证填制记账凭证，定期根据记账凭证分类编制汇总记账凭证，再根据汇总记账凭证登记总分类账的一种账务处理程序。（    ）</w:t>
      </w:r>
    </w:p>
    <w:p w14:paraId="071071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4"/>
          <w:szCs w:val="24"/>
          <w:shd w:val="clear" w:fill="DDEBF6"/>
          <w:lang w:val="en-US" w:eastAsia="zh-CN" w:bidi="ar"/>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正确</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错误</w:t>
      </w:r>
    </w:p>
    <w:p w14:paraId="7FE029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6.</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企业为职工垫付的水电费、应由职工负担的医药费等应该在企业的应收账款科目核算。（    ）</w:t>
      </w:r>
    </w:p>
    <w:p w14:paraId="51A76C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4"/>
          <w:szCs w:val="24"/>
          <w:shd w:val="clear" w:fill="DDEBF6"/>
          <w:lang w:val="en-US" w:eastAsia="zh-CN" w:bidi="ar"/>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正确</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错误</w:t>
      </w:r>
    </w:p>
    <w:p w14:paraId="1B9F77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7.</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债权债务明细账账面余额与对方单位债权债务账面记录核对属于账账核对。（ ）</w:t>
      </w:r>
    </w:p>
    <w:p w14:paraId="55D218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正确</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错误</w:t>
      </w:r>
    </w:p>
    <w:p w14:paraId="04F79B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8.</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企业报经批准后，应将无法查明原因的现金短缺净损失计入当期管理费用。（ ）</w:t>
      </w:r>
    </w:p>
    <w:p w14:paraId="0B6370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正确</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错误</w:t>
      </w:r>
    </w:p>
    <w:p w14:paraId="1ACC2C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9.为购货方代垫的包装物押金，应通过“其他应收款”科目核算。（ ）</w:t>
      </w:r>
    </w:p>
    <w:p w14:paraId="4440A3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正确</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错误</w:t>
      </w:r>
    </w:p>
    <w:p w14:paraId="3AC2F3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shd w:val="clear" w:fill="DDEBF6"/>
          <w:lang w:val="en-US" w:eastAsia="zh-CN"/>
        </w:rPr>
        <w:t>10.</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企业收到委托代销清单时确认代销手续费应冲减企业营业收入。（ ）</w:t>
      </w:r>
    </w:p>
    <w:p w14:paraId="6ECB56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正确</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错误</w:t>
      </w:r>
    </w:p>
    <w:p w14:paraId="70C21A1D">
      <w:pPr>
        <w:numPr>
          <w:ilvl w:val="0"/>
          <w:numId w:val="0"/>
        </w:numPr>
        <w:shd w:val="clear" w:fill="FFFFFF" w:themeFill="background1"/>
        <w:ind w:leftChars="0"/>
        <w:rPr>
          <w:rFonts w:hint="eastAsia" w:ascii="微软雅黑" w:hAnsi="微软雅黑" w:eastAsia="微软雅黑" w:cs="微软雅黑"/>
          <w:i w:val="0"/>
          <w:iCs w:val="0"/>
          <w:caps w:val="0"/>
          <w:color w:val="333333"/>
          <w:spacing w:val="0"/>
          <w:sz w:val="21"/>
          <w:szCs w:val="21"/>
          <w:shd w:val="clear" w:fill="DDEBF6"/>
          <w:lang w:val="en-US" w:eastAsia="zh-CN"/>
        </w:rPr>
      </w:pPr>
      <w:r>
        <w:rPr>
          <w:rFonts w:hint="eastAsia" w:ascii="微软雅黑" w:hAnsi="微软雅黑" w:eastAsia="微软雅黑" w:cs="微软雅黑"/>
          <w:i w:val="0"/>
          <w:iCs w:val="0"/>
          <w:caps w:val="0"/>
          <w:color w:val="333333"/>
          <w:spacing w:val="0"/>
          <w:sz w:val="21"/>
          <w:szCs w:val="21"/>
          <w:shd w:val="clear" w:fill="DDEBF6"/>
          <w:lang w:val="en-US" w:eastAsia="zh-CN"/>
        </w:rPr>
        <w:t>四‘不定项选择题</w:t>
      </w:r>
    </w:p>
    <w:p w14:paraId="52231BFD">
      <w:pPr>
        <w:numPr>
          <w:ilvl w:val="0"/>
          <w:numId w:val="0"/>
        </w:numPr>
        <w:shd w:val="clear" w:fill="FFFFFF" w:themeFill="background1"/>
        <w:ind w:leftChars="0"/>
        <w:rPr>
          <w:rFonts w:ascii="微软雅黑" w:hAnsi="微软雅黑" w:eastAsia="微软雅黑" w:cs="微软雅黑"/>
          <w:i w:val="0"/>
          <w:iCs w:val="0"/>
          <w:caps w:val="0"/>
          <w:color w:val="333333"/>
          <w:spacing w:val="0"/>
          <w:sz w:val="24"/>
          <w:szCs w:val="24"/>
          <w:shd w:val="clear" w:fill="DDEBF6"/>
        </w:rPr>
      </w:pPr>
      <w:r>
        <w:rPr>
          <w:rFonts w:ascii="微软雅黑" w:hAnsi="微软雅黑" w:eastAsia="微软雅黑" w:cs="微软雅黑"/>
          <w:i w:val="0"/>
          <w:iCs w:val="0"/>
          <w:caps w:val="0"/>
          <w:color w:val="333333"/>
          <w:spacing w:val="0"/>
          <w:sz w:val="24"/>
          <w:szCs w:val="24"/>
          <w:shd w:val="clear" w:fill="DDEBF6"/>
        </w:rPr>
        <w:t>某公司为制造业增值税一般纳税人，生产M产品耗用的甲材料按实际成本核算，并采用先进先出法计价。2020年12月初结存甲材料1 000千克，单位成本为0.6万元，未计提存货跌价准备。12月该公司发生与甲材料有关的业务如下：（1）5日，购入甲材料600千克并验收入库，取得增值税专用发票上注明的价款为360万元，增值税税额为46.8万元，另以银行存款支付与材料采购相关的支出共计6.51万元其中：运费5万元、增值税税额为0.45万元，保险费1万元、增值税税额为0.06万元，运费及保险费均已取得增值税专用发票。（2）6日，销售甲材料一批，开具的增值税专用发票上注明的价款为270万元，增值税税额为35.1万元，全部款项尚未收到。该销售业务符合收入确认条件。（3）本月共发出甲材料1 100千克，按照发出先后顺序，依次为对外销售300千克，生产M产品领用600千克，自营建造厂房领用200千克。（4）31日，M产品及甲材料发生跌价，期末库存甲材料预计可变现净值为280万元。要求：根据上述资料，不考虑其他因素，分析回答下列小题。（答案中的金额单位用万元表示）</w:t>
      </w:r>
    </w:p>
    <w:p w14:paraId="645ACE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1.</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根据资料（1）下列各项中，关于该公司购入甲材料会计处理表述正确的是（ ）。</w:t>
      </w:r>
    </w:p>
    <w:p w14:paraId="633079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甲材料应按366万元入账</w:t>
      </w:r>
    </w:p>
    <w:p w14:paraId="5CC1B9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支付的运费5万元应计入管理费用</w:t>
      </w:r>
    </w:p>
    <w:p w14:paraId="6A599E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支付的保险费1万元应计入财务费用</w:t>
      </w:r>
    </w:p>
    <w:p w14:paraId="3A041A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应确认增值税进项税额47.31万元</w:t>
      </w:r>
    </w:p>
    <w:p w14:paraId="5AFA46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2.</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根据资料（2），下列各项中，该公司销售甲材料会计科目处理正确的是（ ）。</w:t>
      </w:r>
    </w:p>
    <w:p w14:paraId="6E62C2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贷记“应交税费——应交增值税（销项税额）”科目35.1万元</w:t>
      </w:r>
    </w:p>
    <w:p w14:paraId="0E6C15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贷记“主营业务收入”科目270万元</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贷记“其他业务收入”科目270万元</w:t>
      </w:r>
    </w:p>
    <w:p w14:paraId="172609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借记“其他应收款”科目305.1万元</w:t>
      </w:r>
    </w:p>
    <w:p w14:paraId="2705F0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3.</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根据期初资料、资料（1）至（3），下列各项中，该公司发出甲材料会计处理正确的是（ ）。</w:t>
      </w:r>
    </w:p>
    <w:p w14:paraId="7F28FB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生产M产品领用材料时：借：生产成本——M产品 360 贷：原材料 360</w:t>
      </w:r>
    </w:p>
    <w:p w14:paraId="4D457F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结转对外销售材料成本时：借：其他业务成本 180 贷：原材料 180</w:t>
      </w:r>
    </w:p>
    <w:p w14:paraId="4E9763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自营建造厂房领用材料时：借：在建工程 121 贷：原材料 121</w:t>
      </w:r>
    </w:p>
    <w:p w14:paraId="1277A2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自营建造厂房领用材料时：借：在建工程 135.6 贷：原材料 120 应交税费——应交增值税（进项税额转出）15.6</w:t>
      </w:r>
    </w:p>
    <w:p w14:paraId="797FB4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1"/>
          <w:szCs w:val="21"/>
          <w:shd w:val="clear" w:fill="DDEBF6"/>
          <w:lang w:val="en-US" w:eastAsia="zh-CN" w:bidi="ar"/>
        </w:rPr>
        <w:t>4.</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根据期初资料、资料（1）至（4），下列各项中，期末甲材料发生减值会计处理正确的是（ ）。</w:t>
      </w:r>
    </w:p>
    <w:p w14:paraId="69DE62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借记“资产减值损失”科目25万元</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借记“信用减值损失”科目20万元</w:t>
      </w:r>
    </w:p>
    <w:p w14:paraId="6DA61C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贷记“存货跌价准备”科目20万元</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贷记“存货跌价准备”科目25万元</w:t>
      </w:r>
    </w:p>
    <w:p w14:paraId="57ACF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5.</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根据期初资料、资料（1）至（4），下列各项中，该公司2020年12月31日库存甲材料的账面价值是（ ）万元。</w:t>
      </w:r>
    </w:p>
    <w:p w14:paraId="611104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301.875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280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305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300</w:t>
      </w:r>
    </w:p>
    <w:p w14:paraId="17844D3E">
      <w:pPr>
        <w:numPr>
          <w:ilvl w:val="0"/>
          <w:numId w:val="0"/>
        </w:numPr>
        <w:shd w:val="clear" w:fill="FFFFFF" w:themeFill="background1"/>
        <w:ind w:leftChars="0"/>
        <w:rPr>
          <w:rFonts w:ascii="微软雅黑" w:hAnsi="微软雅黑" w:eastAsia="微软雅黑" w:cs="微软雅黑"/>
          <w:i w:val="0"/>
          <w:iCs w:val="0"/>
          <w:caps w:val="0"/>
          <w:color w:val="333333"/>
          <w:spacing w:val="0"/>
          <w:sz w:val="24"/>
          <w:szCs w:val="24"/>
          <w:shd w:val="clear" w:fill="DDEBF6"/>
        </w:rPr>
      </w:pPr>
      <w:r>
        <w:rPr>
          <w:rFonts w:ascii="微软雅黑" w:hAnsi="微软雅黑" w:eastAsia="微软雅黑" w:cs="微软雅黑"/>
          <w:i w:val="0"/>
          <w:iCs w:val="0"/>
          <w:caps w:val="0"/>
          <w:color w:val="333333"/>
          <w:spacing w:val="0"/>
          <w:sz w:val="24"/>
          <w:szCs w:val="24"/>
          <w:shd w:val="clear" w:fill="DDEBF6"/>
        </w:rPr>
        <w:t>甲公司为增值税一般纳税人，2022年发生交易性金融资产相关经济业务如下：（1）1月8日，从上海证券交易所购入乙公司股票100万股，支付价款1 500万元，其中包含已宣告但尚未发放的现金股利50万元，另支付相关交易费用0.5万元，取得增值税专用发票上注明的增值税税额为0.03万元，甲公司将该股票投资确认为交易性金融资产，1月20日，收到乙公司发放的现金股利并存入投资款专户。（2）3月31日，持有上述乙公司股票的公允价值为1 550万元。（3）4月6日，将持有的乙公司股票全部转让，取得价款1 700万元，存入投资款专户，确认转让该金融商品应交增值税为11.32万元。要求：根据上述资料，不考虑其他因素，分析回答下列小题。（答案中的金额单位用万元表示）</w:t>
      </w:r>
    </w:p>
    <w:p w14:paraId="72DA31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6.</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根据资料（1），甲公司购入乙公司股票应记入“交易性金融资产——成本”科目的金额是（ ）万元。</w:t>
      </w:r>
    </w:p>
    <w:p w14:paraId="3A3AB2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1 500</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1 450</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1 500.5</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1 450.53</w:t>
      </w:r>
    </w:p>
    <w:p w14:paraId="70D642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7.</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根据资料（1），下列各项中，甲公司收到现金股利相关会计处理正确的是（ ）。</w:t>
      </w:r>
    </w:p>
    <w:p w14:paraId="54AFB2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借：银行存款 50   贷：应收股利 50</w:t>
      </w:r>
    </w:p>
    <w:p w14:paraId="778A19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借：其他货币资金——存出投资款 50   贷：应收股利 50</w:t>
      </w:r>
    </w:p>
    <w:p w14:paraId="723AB4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借：其他货币资金——存出投资款 50   贷：投资收益 50</w:t>
      </w:r>
    </w:p>
    <w:p w14:paraId="4C72D3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借：银行存款 50   贷：投资收益 50</w:t>
      </w:r>
    </w:p>
    <w:p w14:paraId="1CA31F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8.</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根据资料（1）和（2），下列各项中，甲公司3月31日相关会计处理表述正确的是（ ）。</w:t>
      </w:r>
    </w:p>
    <w:p w14:paraId="40C833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贷记“投资收益”科目100万元</w:t>
      </w:r>
    </w:p>
    <w:p w14:paraId="0389DD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借记“交易性金融资产——公允价值变动”科目50万元</w:t>
      </w:r>
    </w:p>
    <w:p w14:paraId="6F5743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借记“交易性金融资产——公允价值变动”科目100万元</w:t>
      </w:r>
    </w:p>
    <w:p w14:paraId="682936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贷记“公允价值变动损益”科目100万元</w:t>
      </w:r>
    </w:p>
    <w:p w14:paraId="42FD9E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9.</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根据资料（1）至（3），下列各项中，甲公司出售乙公司股票相关会计处理结果表述正确的是（ ）。</w:t>
      </w:r>
    </w:p>
    <w:p w14:paraId="143D69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其他货币资金增加1 700万元</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投资净收益增加138.68万元</w:t>
      </w:r>
    </w:p>
    <w:p w14:paraId="24CF64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交易性金融资产（成本）减少1 550万元</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增值税（销项税额）增加11.32万元</w:t>
      </w:r>
    </w:p>
    <w:p w14:paraId="27CAF2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10.根据资料（1）至（3），该股票投资业务对甲公司2022年度利润表“营业利润”项目本期金额的影响是（ ）万元。</w:t>
      </w:r>
    </w:p>
    <w:p w14:paraId="1DBD5B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250</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200</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238.68</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238.18</w:t>
      </w:r>
    </w:p>
    <w:p w14:paraId="0F7F44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150" w:beforeAutospacing="0" w:after="0" w:afterAutospacing="0"/>
        <w:ind w:left="0" w:right="0" w:firstLine="0"/>
        <w:jc w:val="left"/>
        <w:rPr>
          <w:rFonts w:hint="default" w:ascii="微软雅黑" w:hAnsi="微软雅黑" w:eastAsia="微软雅黑" w:cs="微软雅黑"/>
          <w:i w:val="0"/>
          <w:iCs w:val="0"/>
          <w:caps w:val="0"/>
          <w:color w:val="333333"/>
          <w:spacing w:val="0"/>
          <w:kern w:val="0"/>
          <w:sz w:val="21"/>
          <w:szCs w:val="21"/>
          <w:shd w:val="clear" w:fill="DDEBF6"/>
          <w:lang w:val="en-US" w:eastAsia="zh-CN" w:bidi="ar"/>
        </w:rPr>
      </w:pPr>
      <w:r>
        <w:rPr>
          <w:rFonts w:ascii="微软雅黑" w:hAnsi="微软雅黑" w:eastAsia="微软雅黑" w:cs="微软雅黑"/>
          <w:i w:val="0"/>
          <w:iCs w:val="0"/>
          <w:caps w:val="0"/>
          <w:color w:val="333333"/>
          <w:spacing w:val="0"/>
          <w:sz w:val="24"/>
          <w:szCs w:val="24"/>
          <w:shd w:val="clear" w:fill="DDEBF6"/>
        </w:rPr>
        <w:t>甲公司发生的与股权投资有关的经济业务如下：（1）2022年1月1日，甲公司支付购买价款8 000万元取得乙公司80%股权，能够控制乙公司，形成非同一控制下企业合并。甲公司另支付审计费、评估费合计100万元。当日，乙公司可辨认净资产公允价值为9 000万元。（2）2022年7月1日，甲公司支付购买价款2 000万元取得丙公司30%股权，对丙公司具有重大影响，甲公司另支付相关费用50万元。当日，丙公司可辨认净资产的公允价值为8 000万元。（3）2022年12月31日，乙公司实现净利润1 500万元，丙公司实现净利润800万元（其中7月至12月实现净利润600万元）。（4）2023年3月12日，乙公司宣告分派现金股利500万元，丙公司宣告分派现金股利200万元。要求：不考虑相关税费等其他因素，分析回答下列小题（答案中的金额单位用万元表示）。</w:t>
      </w:r>
    </w:p>
    <w:p w14:paraId="3FBB81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1.</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根据资料（1），甲公司长期股权投资入账成本为（ ）万元。</w:t>
      </w:r>
    </w:p>
    <w:p w14:paraId="1048AF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8 000</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8 100</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7 200</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7 300</w:t>
      </w:r>
    </w:p>
    <w:p w14:paraId="5BC0AB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2.</w:t>
      </w:r>
      <w:bookmarkStart w:id="0" w:name="_GoBack"/>
      <w:bookmarkEnd w:id="0"/>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根据资料（2），甲公司下列会计处理正确的是（ ）。</w:t>
      </w:r>
    </w:p>
    <w:p w14:paraId="1B49E3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甲公司取得丙公司股权应作为长期股权投资核算</w:t>
      </w:r>
    </w:p>
    <w:p w14:paraId="583619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甲公司长期股权投资初始投资成本为2 050万元</w:t>
      </w:r>
    </w:p>
    <w:p w14:paraId="41413A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甲公司对丙公司投资后续采用权益法核算</w:t>
      </w:r>
    </w:p>
    <w:p w14:paraId="6131D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甲公司长期股权投资入账金额为2 400万元</w:t>
      </w:r>
    </w:p>
    <w:p w14:paraId="2E094B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3.</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根据资料（3），甲公司应确认的投资收益为（ ）万元。</w:t>
      </w:r>
    </w:p>
    <w:p w14:paraId="3B8138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240</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180</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1 440</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1 380</w:t>
      </w:r>
    </w:p>
    <w:p w14:paraId="27AD89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4.</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根据资料（4），甲公司下列会计处理正确的是（ ）。</w:t>
      </w:r>
    </w:p>
    <w:p w14:paraId="40C44B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甲公司对乙公司投资应编制的会计分录为：借：应收股利 400  贷：长期股权投资 400</w:t>
      </w:r>
    </w:p>
    <w:p w14:paraId="1C374D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甲公司对乙公司投资应编制的会计分录为：借：应收股利 400  贷：投资收益 400</w:t>
      </w:r>
    </w:p>
    <w:p w14:paraId="20A243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甲公司对丙公司投资应编制的会计分录为：借：应收股利 60  贷：投资收益 60</w:t>
      </w:r>
    </w:p>
    <w:p w14:paraId="2EBA24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甲公司对丙公司投资应编制的会计分录为：借：应收股利 60  贷：长期股权投资——损益调整 60</w:t>
      </w:r>
    </w:p>
    <w:p w14:paraId="090F62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150" w:afterAutospacing="0" w:line="23" w:lineRule="atLeast"/>
        <w:ind w:left="0" w:right="0" w:firstLine="0"/>
        <w:jc w:val="left"/>
      </w:pPr>
      <w:r>
        <w:rPr>
          <w:rStyle w:val="7"/>
          <w:rFonts w:hint="eastAsia" w:ascii="微软雅黑" w:hAnsi="微软雅黑" w:eastAsia="微软雅黑" w:cs="微软雅黑"/>
          <w:b/>
          <w:bCs/>
          <w:i w:val="0"/>
          <w:iCs w:val="0"/>
          <w:caps w:val="0"/>
          <w:color w:val="333333"/>
          <w:spacing w:val="0"/>
          <w:kern w:val="0"/>
          <w:sz w:val="24"/>
          <w:szCs w:val="24"/>
          <w:shd w:val="clear" w:fill="DDEBF6"/>
          <w:lang w:val="en-US" w:eastAsia="zh-CN" w:bidi="ar"/>
        </w:rPr>
        <w:t>5.</w:t>
      </w:r>
      <w:r>
        <w:rPr>
          <w:rFonts w:hint="eastAsia" w:ascii="微软雅黑" w:hAnsi="微软雅黑" w:eastAsia="微软雅黑" w:cs="微软雅黑"/>
          <w:i w:val="0"/>
          <w:iCs w:val="0"/>
          <w:caps w:val="0"/>
          <w:color w:val="333333"/>
          <w:spacing w:val="0"/>
          <w:sz w:val="24"/>
          <w:szCs w:val="24"/>
          <w:shd w:val="clear" w:fill="DDEBF6"/>
        </w:rPr>
        <w:t>根据上述资料，甲公司2023年12月31日长期股权投资账面余额是（     ）万元。</w:t>
      </w:r>
    </w:p>
    <w:p w14:paraId="40F0B0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lang w:val="en-US" w:eastAsia="zh-CN"/>
        </w:rPr>
      </w:pPr>
      <w:r>
        <w:rPr>
          <w:rStyle w:val="7"/>
          <w:rFonts w:hint="eastAsia" w:ascii="宋体" w:hAnsi="宋体" w:eastAsia="宋体" w:cs="宋体"/>
          <w:b/>
          <w:bCs/>
          <w:i w:val="0"/>
          <w:iCs w:val="0"/>
          <w:caps w:val="0"/>
          <w:color w:val="333333"/>
          <w:spacing w:val="0"/>
          <w:kern w:val="0"/>
          <w:sz w:val="24"/>
          <w:szCs w:val="24"/>
          <w:shd w:val="clear" w:fill="DDEBF6"/>
          <w:lang w:val="en-US" w:eastAsia="zh-CN" w:bidi="ar"/>
        </w:rPr>
        <w:t>A.</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10 520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B.</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10 580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C.</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 xml:space="preserve">11 780    </w:t>
      </w:r>
      <w:r>
        <w:rPr>
          <w:rStyle w:val="7"/>
          <w:rFonts w:hint="eastAsia" w:ascii="宋体" w:hAnsi="宋体" w:eastAsia="宋体" w:cs="宋体"/>
          <w:b/>
          <w:bCs/>
          <w:i w:val="0"/>
          <w:iCs w:val="0"/>
          <w:caps w:val="0"/>
          <w:color w:val="333333"/>
          <w:spacing w:val="0"/>
          <w:kern w:val="0"/>
          <w:sz w:val="24"/>
          <w:szCs w:val="24"/>
          <w:shd w:val="clear" w:fill="DDEBF6"/>
          <w:lang w:val="en-US" w:eastAsia="zh-CN" w:bidi="ar"/>
        </w:rPr>
        <w:t>D.</w:t>
      </w:r>
      <w:r>
        <w:rPr>
          <w:rFonts w:hint="eastAsia" w:ascii="微软雅黑" w:hAnsi="微软雅黑" w:eastAsia="微软雅黑" w:cs="微软雅黑"/>
          <w:i w:val="0"/>
          <w:iCs w:val="0"/>
          <w:caps w:val="0"/>
          <w:color w:val="333333"/>
          <w:spacing w:val="0"/>
          <w:kern w:val="0"/>
          <w:sz w:val="24"/>
          <w:szCs w:val="24"/>
          <w:shd w:val="clear" w:fill="DDEBF6"/>
          <w:lang w:val="en-US" w:eastAsia="zh-CN" w:bidi="ar"/>
        </w:rPr>
        <w:t>10 400</w:t>
      </w:r>
    </w:p>
    <w:sectPr>
      <w:headerReference r:id="rId3" w:type="default"/>
      <w:footerReference r:id="rId4" w:type="default"/>
      <w:pgSz w:w="11906" w:h="16838"/>
      <w:pgMar w:top="1440" w:right="1633" w:bottom="1440" w:left="1633" w:header="851" w:footer="992"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72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8391D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68391D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17F8">
    <w:pPr>
      <w:pStyle w:val="3"/>
      <w:rPr>
        <w:rFonts w:hint="default" w:eastAsiaTheme="minorEastAsia"/>
        <w:lang w:val="en-US" w:eastAsia="zh-CN"/>
      </w:rPr>
    </w:pPr>
    <w:r>
      <w:rPr>
        <w:rFonts w:hint="eastAsia"/>
        <w:lang w:val="en-US" w:eastAsia="zh-CN"/>
      </w:rPr>
      <w:t>费县英才会计模拟考试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CF078"/>
    <w:multiLevelType w:val="singleLevel"/>
    <w:tmpl w:val="85ACF0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YmNmYzgxNDA5Y2JjYzE2MGY3ODUzNmYyNWQ2M2QifQ=="/>
  </w:docVars>
  <w:rsids>
    <w:rsidRoot w:val="00000000"/>
    <w:rsid w:val="091B377D"/>
    <w:rsid w:val="10625688"/>
    <w:rsid w:val="37FA65B9"/>
    <w:rsid w:val="3DFB53B8"/>
    <w:rsid w:val="5481512D"/>
    <w:rsid w:val="5B8F572E"/>
    <w:rsid w:val="628E25E1"/>
    <w:rsid w:val="6E23179E"/>
    <w:rsid w:val="70D14702"/>
    <w:rsid w:val="769D0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13364</Words>
  <Characters>14732</Characters>
  <Lines>0</Lines>
  <Paragraphs>0</Paragraphs>
  <TotalTime>46</TotalTime>
  <ScaleCrop>false</ScaleCrop>
  <LinksUpToDate>false</LinksUpToDate>
  <CharactersWithSpaces>15236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2024-09-12T06:54:00Z</dcterms:created>
  <dc:creator>Administrator</dc:creator>
  <cp:lastModifiedBy>Administrator</cp:lastModifiedBy>
  <dcterms:modified xsi:type="dcterms:W3CDTF">2024-09-12T07:46:08Z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6EB6797F6C9C42C683C68C288A5B7794_13</vt:lpwstr>
  </property>
</Properties>
</file>