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1121" w:firstLineChars="400"/>
        <w:jc w:val="both"/>
        <w:rPr>
          <w:rFonts w:hint="eastAsia" w:ascii="微软雅黑" w:hAnsi="微软雅黑" w:eastAsia="微软雅黑" w:cs="微软雅黑"/>
          <w:b/>
          <w:bCs/>
          <w:i w:val="0"/>
          <w:iCs w:val="0"/>
          <w:caps w:val="0"/>
          <w:color w:val="44484D"/>
          <w:spacing w:val="0"/>
          <w:kern w:val="0"/>
          <w:sz w:val="28"/>
          <w:szCs w:val="28"/>
          <w:shd w:val="clear" w:fill="FFFFFF"/>
          <w:lang w:val="en-US" w:eastAsia="zh-CN" w:bidi="ar"/>
        </w:rPr>
      </w:pPr>
      <w:r>
        <w:rPr>
          <w:rFonts w:hint="eastAsia" w:ascii="微软雅黑" w:hAnsi="微软雅黑" w:eastAsia="微软雅黑" w:cs="微软雅黑"/>
          <w:b/>
          <w:bCs/>
          <w:i w:val="0"/>
          <w:iCs w:val="0"/>
          <w:caps w:val="0"/>
          <w:color w:val="44484D"/>
          <w:spacing w:val="0"/>
          <w:kern w:val="0"/>
          <w:sz w:val="28"/>
          <w:szCs w:val="28"/>
          <w:shd w:val="clear" w:fill="FFFFFF"/>
          <w:lang w:val="en-US" w:eastAsia="zh-CN" w:bidi="ar"/>
        </w:rPr>
        <w:t>2022年《初级会计实务》模拟考试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leftChars="0" w:right="0" w:firstLine="0" w:firstLineChars="0"/>
        <w:jc w:val="both"/>
        <w:rPr>
          <w:rFonts w:hint="eastAsia" w:ascii="宋体" w:hAnsi="宋体" w:eastAsia="宋体" w:cs="宋体"/>
          <w:b w:val="0"/>
          <w:bCs w:val="0"/>
          <w:i w:val="0"/>
          <w:iCs w:val="0"/>
          <w:caps w:val="0"/>
          <w:color w:val="44484D"/>
          <w:spacing w:val="0"/>
          <w:kern w:val="0"/>
          <w:sz w:val="28"/>
          <w:szCs w:val="28"/>
          <w:shd w:val="clear" w:fill="FFFFFF"/>
          <w:lang w:val="en-US" w:eastAsia="zh-CN" w:bidi="ar"/>
        </w:rPr>
      </w:pPr>
      <w:r>
        <w:rPr>
          <w:rFonts w:hint="eastAsia" w:ascii="宋体" w:hAnsi="宋体" w:eastAsia="宋体" w:cs="宋体"/>
          <w:b w:val="0"/>
          <w:bCs w:val="0"/>
          <w:i w:val="0"/>
          <w:iCs w:val="0"/>
          <w:caps w:val="0"/>
          <w:color w:val="44484D"/>
          <w:spacing w:val="0"/>
          <w:kern w:val="0"/>
          <w:sz w:val="28"/>
          <w:szCs w:val="28"/>
          <w:shd w:val="clear" w:fill="FFFFFF"/>
          <w:lang w:val="en-US" w:eastAsia="zh-CN" w:bidi="ar"/>
        </w:rPr>
        <w:t>一、单项选择（共20道题。每题2分共40分）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1.下列账簿中，通常不采用三栏式或多栏式账页格式的是（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应付账款明细账</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银行存款日记账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C、销售费用明细账D、库存商品明细分类账</w:t>
      </w:r>
    </w:p>
    <w:p>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rPr>
        <w:t>2021年11月30日，某企业"坏账准备-应收账款"科目贷方余额为30万元；12月31日，相关应收账款所属明细科目借方余额合计为500万元。经减值测试，该应收账款预计未来现金流量现值为410万元，不考虑其他因素，该企业2021年12月31日应确认的信用减值损失为（ ）万元。</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90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120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30    D、60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3.某企业销售商品领用一批随同销售而不单独计价的包装物。不考虑其他因素，该企业领用包装物应记入的会计科目是（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管理费用  B、销售费用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其他业务成本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主营业务成本</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color w:val="44484D"/>
          <w:sz w:val="21"/>
          <w:szCs w:val="21"/>
        </w:rPr>
      </w:pPr>
      <w:r>
        <w:rPr>
          <w:rFonts w:hint="eastAsia" w:ascii="宋体" w:hAnsi="宋体" w:eastAsia="宋体" w:cs="宋体"/>
          <w:color w:val="44484D"/>
          <w:kern w:val="0"/>
          <w:sz w:val="21"/>
          <w:szCs w:val="21"/>
          <w:lang w:val="en-US" w:eastAsia="zh-CN" w:bidi="ar"/>
        </w:rPr>
        <w:t>4.</w:t>
      </w:r>
      <w:r>
        <w:rPr>
          <w:rFonts w:ascii="宋体" w:hAnsi="宋体" w:eastAsia="宋体" w:cs="宋体"/>
          <w:color w:val="44484D"/>
          <w:kern w:val="0"/>
          <w:sz w:val="21"/>
          <w:szCs w:val="21"/>
          <w:lang w:val="en-US" w:eastAsia="zh-CN" w:bidi="ar"/>
        </w:rPr>
        <w:t>甲企业对一项原值为100万元、已提折旧50万元的固定资产进行改建，发生改建支出65万元，被替换部分的账面价值为10万元，被替换部分取得变价收入12万元。则改建后该项固定资产的入账价值是（ ）万元。</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A、</w:t>
      </w:r>
      <w:r>
        <w:rPr>
          <w:rFonts w:ascii="宋体" w:hAnsi="宋体" w:eastAsia="宋体" w:cs="宋体"/>
          <w:kern w:val="0"/>
          <w:sz w:val="24"/>
          <w:szCs w:val="24"/>
          <w:lang w:val="en-US" w:eastAsia="zh-CN" w:bidi="ar"/>
        </w:rPr>
        <w:t>20</w:t>
      </w:r>
      <w:r>
        <w:rPr>
          <w:rFonts w:hint="eastAsia" w:ascii="宋体" w:hAnsi="宋体" w:eastAsia="宋体" w:cs="宋体"/>
          <w:kern w:val="0"/>
          <w:sz w:val="24"/>
          <w:szCs w:val="24"/>
          <w:lang w:val="en-US" w:eastAsia="zh-CN" w:bidi="ar"/>
        </w:rPr>
        <w:t xml:space="preserve">  </w:t>
      </w:r>
      <w:r>
        <w:rPr>
          <w:rFonts w:ascii="宋体" w:hAnsi="宋体" w:eastAsia="宋体" w:cs="宋体"/>
          <w:b/>
          <w:bCs/>
          <w:i w:val="0"/>
          <w:iCs w:val="0"/>
          <w:kern w:val="0"/>
          <w:sz w:val="24"/>
          <w:szCs w:val="24"/>
          <w:lang w:val="en-US" w:eastAsia="zh-CN" w:bidi="ar"/>
        </w:rPr>
        <w:t>B.</w:t>
      </w:r>
      <w:r>
        <w:rPr>
          <w:rFonts w:hint="eastAsia" w:ascii="宋体" w:hAnsi="宋体" w:eastAsia="宋体" w:cs="宋体"/>
          <w:b/>
          <w:bCs/>
          <w:i w:val="0"/>
          <w:iCs w:val="0"/>
          <w:kern w:val="0"/>
          <w:sz w:val="24"/>
          <w:szCs w:val="24"/>
          <w:lang w:val="en-US" w:eastAsia="zh-CN" w:bidi="ar"/>
        </w:rPr>
        <w:t xml:space="preserve"> </w:t>
      </w:r>
      <w:r>
        <w:rPr>
          <w:rFonts w:ascii="宋体" w:hAnsi="宋体" w:eastAsia="宋体" w:cs="宋体"/>
          <w:kern w:val="0"/>
          <w:sz w:val="24"/>
          <w:szCs w:val="24"/>
          <w:lang w:val="en-US" w:eastAsia="zh-CN" w:bidi="ar"/>
        </w:rPr>
        <w:t>115</w:t>
      </w:r>
      <w:r>
        <w:rPr>
          <w:rFonts w:hint="eastAsia" w:ascii="宋体" w:hAnsi="宋体" w:eastAsia="宋体" w:cs="宋体"/>
          <w:kern w:val="0"/>
          <w:sz w:val="24"/>
          <w:szCs w:val="24"/>
          <w:lang w:val="en-US" w:eastAsia="zh-CN" w:bidi="ar"/>
        </w:rPr>
        <w:t xml:space="preserve">   C、</w:t>
      </w:r>
      <w:r>
        <w:rPr>
          <w:rFonts w:ascii="宋体" w:hAnsi="宋体" w:eastAsia="宋体" w:cs="宋体"/>
          <w:kern w:val="0"/>
          <w:sz w:val="24"/>
          <w:szCs w:val="24"/>
          <w:lang w:val="en-US" w:eastAsia="zh-CN" w:bidi="ar"/>
        </w:rPr>
        <w:t>105</w:t>
      </w:r>
      <w:r>
        <w:rPr>
          <w:rFonts w:hint="eastAsia" w:ascii="宋体" w:hAnsi="宋体" w:eastAsia="宋体" w:cs="宋体"/>
          <w:kern w:val="0"/>
          <w:sz w:val="24"/>
          <w:szCs w:val="24"/>
          <w:lang w:val="en-US" w:eastAsia="zh-CN" w:bidi="ar"/>
        </w:rPr>
        <w:t xml:space="preserve">    </w:t>
      </w:r>
      <w:r>
        <w:rPr>
          <w:rFonts w:ascii="宋体" w:hAnsi="宋体" w:eastAsia="宋体" w:cs="宋体"/>
          <w:b/>
          <w:bCs/>
          <w:i w:val="0"/>
          <w:iCs w:val="0"/>
          <w:kern w:val="0"/>
          <w:sz w:val="24"/>
          <w:szCs w:val="24"/>
          <w:lang w:val="en-US" w:eastAsia="zh-CN" w:bidi="ar"/>
        </w:rPr>
        <w:t>D.</w:t>
      </w:r>
      <w:r>
        <w:rPr>
          <w:rFonts w:ascii="宋体" w:hAnsi="宋体" w:eastAsia="宋体" w:cs="宋体"/>
          <w:kern w:val="0"/>
          <w:sz w:val="24"/>
          <w:szCs w:val="24"/>
          <w:lang w:val="en-US" w:eastAsia="zh-CN" w:bidi="ar"/>
        </w:rPr>
        <w:t>93</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lang w:val="en-US" w:eastAsia="zh-CN"/>
        </w:rPr>
        <w:t>5.</w:t>
      </w:r>
      <w:r>
        <w:rPr>
          <w:rFonts w:hint="eastAsia" w:ascii="微软雅黑" w:hAnsi="微软雅黑" w:eastAsia="微软雅黑" w:cs="微软雅黑"/>
          <w:i w:val="0"/>
          <w:iCs w:val="0"/>
          <w:caps w:val="0"/>
          <w:color w:val="44484D"/>
          <w:spacing w:val="0"/>
          <w:sz w:val="21"/>
          <w:szCs w:val="21"/>
          <w:shd w:val="clear" w:fill="FFFFFF"/>
        </w:rPr>
        <w:t>2021年年初远通公司自行研发一项非专利技术，截至2021年7月31日，发生的各项研究支出合计为350万元，经测试，该项研发活动完成了研究阶段，从2021年8月1日起进入开发阶段。2021年11月5日开发完成，远通公司形成一项非专利技术，共计发生开发支出180万元（符合资本化条件），远通公司无法可靠预计该项非专利技术的使用寿命。则下列说法中不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发生的研究阶段支出350万元应计入管理费用中</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发生的开发阶段支出180万元应计入无形资产中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C、该非专利技术当年需按2个月进行摊销</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远通公司在12月31日应当对该非专利技术进行减值测试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6.企业将自有的汽车无偿提供给高级管理人员使用，在计提折旧时，相关的会计处理是（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 xml:space="preserve">A. </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借方登记"管理费用"科目，贷方登记"累计折旧"科目</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借方登记"管理费用"科目，贷方登记"固定资产"科目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C、借方登记"管理费用"科目，贷方登记"应付职工薪酬" 科目，同时借方登记"应付职工薪酬" 科目，贷方登记"累计折旧"科目</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借方登记"管理费用"科目，贷方登记"其他应付款"科目，同时借方登记"其他应付款"科目，贷方登记"累计折旧"科目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lang w:val="en-US" w:eastAsia="zh-CN"/>
        </w:rPr>
        <w:t>7.</w:t>
      </w:r>
      <w:r>
        <w:rPr>
          <w:rFonts w:hint="eastAsia" w:ascii="微软雅黑" w:hAnsi="微软雅黑" w:eastAsia="微软雅黑" w:cs="微软雅黑"/>
          <w:i w:val="0"/>
          <w:iCs w:val="0"/>
          <w:caps w:val="0"/>
          <w:color w:val="44484D"/>
          <w:spacing w:val="0"/>
          <w:sz w:val="21"/>
          <w:szCs w:val="21"/>
          <w:shd w:val="clear" w:fill="FFFFFF"/>
        </w:rPr>
        <w:t>某公司2021年年初所有者权益总额为1360万元，当年实现净利润450万元，提取盈余公积45万元，向投资者分配现金股利200万元，本年内以资本公积转增资本50万元，投资者追加现金投资30万元。该公司年末所有者权益总额为（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1565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1595    C、1640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1795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lang w:val="en-US" w:eastAsia="zh-CN"/>
        </w:rPr>
        <w:t>8.</w:t>
      </w:r>
      <w:r>
        <w:rPr>
          <w:rFonts w:hint="eastAsia" w:ascii="微软雅黑" w:hAnsi="微软雅黑" w:eastAsia="微软雅黑" w:cs="微软雅黑"/>
          <w:i w:val="0"/>
          <w:iCs w:val="0"/>
          <w:caps w:val="0"/>
          <w:color w:val="44484D"/>
          <w:spacing w:val="0"/>
          <w:sz w:val="21"/>
          <w:szCs w:val="21"/>
          <w:shd w:val="clear" w:fill="FFFFFF"/>
        </w:rPr>
        <w:t>甲公司经营一家健身俱乐部。2021年12月1日，某客户与甲公司签订合同，成为甲公司的会员，并向甲公司支付会员费7632元（含税价），可在未来的12个月内在该俱乐部健身，且没有次数的限制。该业务适用的增值税税率为6%。甲公司2021年应确认的收入为（ ）元。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6000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 xml:space="preserve">B. </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7632    C、600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636</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lang w:val="en-US" w:eastAsia="zh-CN"/>
        </w:rPr>
        <w:t>9.</w:t>
      </w:r>
      <w:r>
        <w:rPr>
          <w:rFonts w:hint="eastAsia" w:ascii="微软雅黑" w:hAnsi="微软雅黑" w:eastAsia="微软雅黑" w:cs="微软雅黑"/>
          <w:i w:val="0"/>
          <w:iCs w:val="0"/>
          <w:caps w:val="0"/>
          <w:color w:val="44484D"/>
          <w:spacing w:val="0"/>
          <w:sz w:val="21"/>
          <w:szCs w:val="21"/>
          <w:shd w:val="clear" w:fill="FFFFFF"/>
        </w:rPr>
        <w:t>下列各项中，超支的业务招待费应计入（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销售费用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其他业务成本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营业外支出  D、管理费用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lang w:val="en-US" w:eastAsia="zh-CN"/>
        </w:rPr>
        <w:t>10.</w:t>
      </w:r>
      <w:r>
        <w:rPr>
          <w:rFonts w:hint="eastAsia" w:ascii="微软雅黑" w:hAnsi="微软雅黑" w:eastAsia="微软雅黑" w:cs="微软雅黑"/>
          <w:i w:val="0"/>
          <w:iCs w:val="0"/>
          <w:caps w:val="0"/>
          <w:color w:val="44484D"/>
          <w:spacing w:val="0"/>
          <w:sz w:val="21"/>
          <w:szCs w:val="21"/>
          <w:shd w:val="clear" w:fill="FFFFFF"/>
        </w:rPr>
        <w:t>一般企业处置投资或股票取得的净收益应计入（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资本公积</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营业外收入 C.投资收益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公允价值变动损益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11.在表结法下，年末结账后下列会计科目有余额的是（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主营业务收入</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所得税费用</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本年利润D、利润分配--未分配利润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12.企业年末"本年利润"未结转前贷方余额为17万元，"利润分配--未分配利润"账户期初贷方余额为18万元，本期分配现金股利12万元，则当期资产负债表中"未分配利润"项目金额应为（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 xml:space="preserve">A. </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35   B、23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5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17</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lang w:val="en-US" w:eastAsia="zh-CN"/>
        </w:rPr>
        <w:t>13.</w:t>
      </w:r>
      <w:r>
        <w:rPr>
          <w:rFonts w:hint="eastAsia" w:ascii="微软雅黑" w:hAnsi="微软雅黑" w:eastAsia="微软雅黑" w:cs="微软雅黑"/>
          <w:i w:val="0"/>
          <w:iCs w:val="0"/>
          <w:caps w:val="0"/>
          <w:color w:val="44484D"/>
          <w:spacing w:val="0"/>
          <w:sz w:val="21"/>
          <w:szCs w:val="21"/>
          <w:shd w:val="clear" w:fill="FFFFFF"/>
        </w:rPr>
        <w:t>甲公司2021年12月31日固定资产的科目余额为500万元，累计折旧科目余额为100万，固定资产减值准备科目余额为30万元，该企业2021年资产负债表中的固定资产项目的金额为（）。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500万元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470万元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400万元   D、370万元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14.下列各项中，应列入利润表管理费用项目的是（）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计提的坏账准备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出租无形资产的摊销额</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C、支付中介机构的咨询费</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处置固定资产因自然灾害原因造成的清理净损失</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15.为了正确计算自产产品成本，必须正确划分的费用界限不包括（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收益性支出和资本性支出</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成本费用、期间费用和营业外支出</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本期完工产品成本和期末在产品成本</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D、本期销售产品的成本和上期销售产品的成本</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44484D"/>
          <w:spacing w:val="0"/>
          <w:sz w:val="21"/>
          <w:szCs w:val="21"/>
          <w:shd w:val="clear" w:fill="FFFFFF"/>
          <w:lang w:val="en-US" w:eastAsia="zh-CN"/>
        </w:rPr>
        <w:t>16.</w:t>
      </w:r>
      <w:r>
        <w:rPr>
          <w:rFonts w:hint="eastAsia" w:ascii="微软雅黑" w:hAnsi="微软雅黑" w:eastAsia="微软雅黑" w:cs="微软雅黑"/>
          <w:i w:val="0"/>
          <w:iCs w:val="0"/>
          <w:caps w:val="0"/>
          <w:color w:val="44484D"/>
          <w:spacing w:val="0"/>
          <w:sz w:val="21"/>
          <w:szCs w:val="21"/>
          <w:shd w:val="clear" w:fill="FFFFFF"/>
        </w:rPr>
        <w:t>下列各项中，不属于现金流量表中经营活动产生的现金流量的有（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A、支付的借款利息</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销售商品收到的现金</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代扣代缴职工个人所得税</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支付行政人员因公出差的差旅费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lang w:val="en-US" w:eastAsia="zh-CN"/>
        </w:rPr>
        <w:t>17.</w:t>
      </w:r>
      <w:r>
        <w:rPr>
          <w:rFonts w:hint="eastAsia" w:ascii="微软雅黑" w:hAnsi="微软雅黑" w:eastAsia="微软雅黑" w:cs="微软雅黑"/>
          <w:i w:val="0"/>
          <w:iCs w:val="0"/>
          <w:caps w:val="0"/>
          <w:color w:val="44484D"/>
          <w:spacing w:val="0"/>
          <w:sz w:val="21"/>
          <w:szCs w:val="21"/>
          <w:shd w:val="clear" w:fill="FFFFFF"/>
        </w:rPr>
        <w:t>某公司为获得一项工程合同，拟向工程发包的有关人员支付好处费10万元。公司市场部人员持公司董事长的批示到财务部领取该笔款项时，财务部经理小张认为该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eastAsia"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i w:val="0"/>
          <w:iCs w:val="0"/>
          <w:caps w:val="0"/>
          <w:color w:val="44484D"/>
          <w:spacing w:val="0"/>
          <w:sz w:val="21"/>
          <w:szCs w:val="21"/>
          <w:shd w:val="clear" w:fill="FFFFFF"/>
        </w:rPr>
        <w:t>项支出不符合有关规定，但考虑到公司主要领导已作了同意的批示，遂支付了此款项。对小张做法的下列认定中，正确的是（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小张违反了爱岗敬业的会计职业道德</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小张违反了参与管理的会计职业道德</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小张违反了提高技能的会计职业道德D、小张违反了坚持准则的会计职业道德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lang w:val="en-US" w:eastAsia="zh-CN"/>
        </w:rPr>
        <w:t>18.</w:t>
      </w:r>
      <w:r>
        <w:rPr>
          <w:rFonts w:hint="eastAsia" w:ascii="微软雅黑" w:hAnsi="微软雅黑" w:eastAsia="微软雅黑" w:cs="微软雅黑"/>
          <w:i w:val="0"/>
          <w:iCs w:val="0"/>
          <w:caps w:val="0"/>
          <w:color w:val="44484D"/>
          <w:spacing w:val="0"/>
          <w:sz w:val="21"/>
          <w:szCs w:val="21"/>
          <w:shd w:val="clear" w:fill="FFFFFF"/>
        </w:rPr>
        <w:t>下列各项关于企业持有的股权投资会计处理的表述中，正确的是（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企业持有的同一控制下企业合并形成的长期股权投资，初始投资成本为付出对价的公允价值</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企业持有的交易性金融资产，初始投资成本为当天公允价值与相关交易费用之和</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企业购买联营企业的投资，发生的相关交易费用计入当期损益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D、企业为企业合并发生的审计、法律服务、评估咨询等中介费用以及其他相关管理 费用应作为当期损益计入管理费用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lang w:val="en-US" w:eastAsia="zh-CN"/>
        </w:rPr>
        <w:t>19.</w:t>
      </w:r>
      <w:r>
        <w:rPr>
          <w:rFonts w:hint="eastAsia" w:ascii="微软雅黑" w:hAnsi="微软雅黑" w:eastAsia="微软雅黑" w:cs="微软雅黑"/>
          <w:i w:val="0"/>
          <w:iCs w:val="0"/>
          <w:caps w:val="0"/>
          <w:color w:val="44484D"/>
          <w:spacing w:val="0"/>
          <w:sz w:val="21"/>
          <w:szCs w:val="21"/>
          <w:shd w:val="clear" w:fill="FFFFFF"/>
        </w:rPr>
        <w:t>采用权益法核算的长期股权投资，下列各项中，会导致投资企业投资收益发生增减变动的是（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A、被投资单位实现净利润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被投资单位提取盈余公积</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收到被投资单位分派现金股利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收到被投资单位分派股票股利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lang w:val="en-US" w:eastAsia="zh-CN"/>
        </w:rPr>
        <w:t>20.</w:t>
      </w:r>
      <w:r>
        <w:rPr>
          <w:rFonts w:hint="eastAsia" w:ascii="微软雅黑" w:hAnsi="微软雅黑" w:eastAsia="微软雅黑" w:cs="微软雅黑"/>
          <w:i w:val="0"/>
          <w:iCs w:val="0"/>
          <w:caps w:val="0"/>
          <w:color w:val="44484D"/>
          <w:spacing w:val="0"/>
          <w:sz w:val="21"/>
          <w:szCs w:val="21"/>
          <w:shd w:val="clear" w:fill="FFFFFF"/>
        </w:rPr>
        <w:t>某制造企业采用成本模式计量投资性房地产，下列各项中，其计提的折旧应记入的会计科目是（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A、其他业务成本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营业外支出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投资收益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 xml:space="preserve">D. </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管理费用</w:t>
      </w:r>
    </w:p>
    <w:p>
      <w:pPr>
        <w:pStyle w:val="4"/>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rPr>
          <w:rFonts w:hint="eastAsia" w:ascii="微软雅黑" w:hAnsi="微软雅黑" w:eastAsia="微软雅黑" w:cs="微软雅黑"/>
          <w:i w:val="0"/>
          <w:iCs w:val="0"/>
          <w:caps w:val="0"/>
          <w:color w:val="44484D"/>
          <w:spacing w:val="0"/>
          <w:sz w:val="21"/>
          <w:szCs w:val="21"/>
          <w:shd w:val="clear" w:fill="FFFFFF"/>
          <w:lang w:val="en-US" w:eastAsia="zh-CN"/>
        </w:rPr>
      </w:pPr>
      <w:r>
        <w:rPr>
          <w:rFonts w:hint="eastAsia" w:ascii="微软雅黑" w:hAnsi="微软雅黑" w:eastAsia="微软雅黑" w:cs="微软雅黑"/>
          <w:i w:val="0"/>
          <w:iCs w:val="0"/>
          <w:caps w:val="0"/>
          <w:color w:val="44484D"/>
          <w:spacing w:val="0"/>
          <w:sz w:val="21"/>
          <w:szCs w:val="21"/>
          <w:shd w:val="clear" w:fill="FFFFFF"/>
          <w:lang w:val="en-US" w:eastAsia="zh-CN"/>
        </w:rPr>
        <w:t>多项选择题（共10题每题2分工20分）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1.下列属于外来原始凭证的有（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本单位开具的销售发票         B、供货单位开具的发票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C、职工出差取得的飞机票和火车票    D、银行收付款通知单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2.下列各项属于财产清查对象的是（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A、库存现金   B、其他货币资金C、其他应收款D、母公司投资转入的设备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3..下列各项中，应通过"其他货币资金"科目核算的有（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A、申请信用卡而转存银行的款项</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赊购原材料出具的商业承兑汇票</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赊销商品取得的银行承兑汇票D、为取得银行本票而转存银行的款项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4..下列项目中，应通过“其他应收款”核算的有（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A、应向责任人收取的赔款    B、应收的各种罚款</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收取的各种押金       D、租入包装物支付的押金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5.下列关于短期借款的表述中，正确的有（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A、短期借款利息如果是按月支付的，并且数额不大，可以不采用预提方式</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预提短期借款利息时，借记“财务费用”，贷记“短期借款”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C、预提短期借款利息时，借记“财务费用”，贷记“应付利息”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D、短期借款是向银行或其他金融机构等借入的期限在1年以下（含1年）的各种款项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6.下列各项中，影响当年可供分配利润的有（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当年资本公积转增资本  B、年初未弥补亏损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C、年初未分配利润        D、当年实现净利润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7.下列（ ）项目属于工业企业"其他业务成本"核算的内容。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随同产品出售不单独计价的包装物的成本B、出租无形资产支付的服务费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C、销售材料结转的材料成本</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出售无形资产结转的无形资产的摊余价值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8.下列各项中，影响利润表“投资收益”项目有（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处置交易性金融资产时处置价款与账面价值的差额</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B、购入交易性金融资产支付的交易费用</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短期租赁方式下出租固定资产的租金</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发行股票支付的手续费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lang w:val="en-US" w:eastAsia="zh-CN"/>
        </w:rPr>
        <w:t>9.</w:t>
      </w:r>
      <w:r>
        <w:rPr>
          <w:rFonts w:hint="eastAsia" w:ascii="微软雅黑" w:hAnsi="微软雅黑" w:eastAsia="微软雅黑" w:cs="微软雅黑"/>
          <w:i w:val="0"/>
          <w:iCs w:val="0"/>
          <w:caps w:val="0"/>
          <w:color w:val="44484D"/>
          <w:spacing w:val="0"/>
          <w:sz w:val="21"/>
          <w:szCs w:val="21"/>
          <w:shd w:val="clear" w:fill="FFFFFF"/>
        </w:rPr>
        <w:t>企业内部控制缺陷，按其成因可以分为（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重大缺陷</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重要缺陷C、设计缺陷D、运行缺陷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lang w:val="en-US" w:eastAsia="zh-CN"/>
        </w:rPr>
        <w:t>10.</w:t>
      </w:r>
      <w:r>
        <w:rPr>
          <w:rFonts w:hint="eastAsia" w:ascii="微软雅黑" w:hAnsi="微软雅黑" w:eastAsia="微软雅黑" w:cs="微软雅黑"/>
          <w:i w:val="0"/>
          <w:iCs w:val="0"/>
          <w:caps w:val="0"/>
          <w:color w:val="44484D"/>
          <w:spacing w:val="0"/>
          <w:sz w:val="21"/>
          <w:szCs w:val="21"/>
          <w:shd w:val="clear" w:fill="FFFFFF"/>
        </w:rPr>
        <w:t>下列各项关于生产性生物资产计提折旧会计处理的表述中，正确的有（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A、生产性生物资产可选用的折旧方法包括年限平均法、工作量法、产量法等</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企业确定生产性生物资产的使用寿命时，无须考虑其实物产量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C、企业至少应当于每年年度终了对生产性生物资产的使用寿命、预计净残值和折旧方法进行复核</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生产性生物资产的使用寿命、预计净残值和折旧方法一经确定，不得变更</w:t>
      </w:r>
    </w:p>
    <w:p>
      <w:pPr>
        <w:pStyle w:val="4"/>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150" w:beforeAutospacing="0" w:after="0" w:afterAutospacing="0"/>
        <w:ind w:left="0" w:leftChars="0" w:right="0" w:firstLine="0" w:firstLineChars="0"/>
        <w:rPr>
          <w:rFonts w:hint="eastAsia" w:ascii="微软雅黑" w:hAnsi="微软雅黑" w:eastAsia="微软雅黑" w:cs="微软雅黑"/>
          <w:i w:val="0"/>
          <w:iCs w:val="0"/>
          <w:caps w:val="0"/>
          <w:color w:val="44484D"/>
          <w:spacing w:val="0"/>
          <w:sz w:val="21"/>
          <w:szCs w:val="21"/>
          <w:shd w:val="clear" w:fill="FFFFFF"/>
          <w:lang w:val="en-US" w:eastAsia="zh-CN"/>
        </w:rPr>
      </w:pPr>
      <w:r>
        <w:rPr>
          <w:rFonts w:hint="eastAsia" w:ascii="微软雅黑" w:hAnsi="微软雅黑" w:eastAsia="微软雅黑" w:cs="微软雅黑"/>
          <w:i w:val="0"/>
          <w:iCs w:val="0"/>
          <w:caps w:val="0"/>
          <w:color w:val="44484D"/>
          <w:spacing w:val="0"/>
          <w:sz w:val="21"/>
          <w:szCs w:val="21"/>
          <w:shd w:val="clear" w:fill="FFFFFF"/>
          <w:lang w:val="en-US" w:eastAsia="zh-CN"/>
        </w:rPr>
        <w:t>判断题（一共10题，每题一分供10分）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1.甲公司存货发出计价采用月末一次加权平均法，因管理需要将其改为移动加权平均法违背可比性原则（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正确      B、错误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2.企业出售交易性金融资产时，应将其出售时实际收到的款项与其账面价值之间的差额计入当期投资损益，同时将原计入该金融资产的公允价值变动损益计入当期投资收益（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正确    B、错误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3.企业为特定客户设计产品所发生的可直接确定的设计费用应记入相关产品成本。（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750" w:right="0" w:firstLine="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A、正确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4.企业按规定计算的代扣代缴的职工个人所得税，借记"管理费用"等科目，贷记"其他应付款"科目（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正确     B、错误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5.实收资本的构成比例或股东的股份比例，是确定所有者在企业所有者权益中份额的基础，但不是企业进行利润或股利分配的依据。（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正确    B、错误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6.公益性捐赠支出应当计入营业外支出科目（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750" w:right="0" w:firstLine="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A、正确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7.递延所得税包括递延所得税资产与递延所得税负债。（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正确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 xml:space="preserve">B. </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8.通过利润表，可以考核企业一定会计期间的经营成果，分析企业的盈利能力及未来发展趋势（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正确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lang w:val="en-US" w:eastAsia="zh-CN"/>
        </w:rPr>
        <w:t>9.</w:t>
      </w:r>
      <w:r>
        <w:rPr>
          <w:rFonts w:ascii="微软雅黑" w:hAnsi="微软雅黑" w:eastAsia="微软雅黑" w:cs="微软雅黑"/>
          <w:i w:val="0"/>
          <w:iCs w:val="0"/>
          <w:caps w:val="0"/>
          <w:color w:val="44484D"/>
          <w:spacing w:val="0"/>
          <w:sz w:val="21"/>
          <w:szCs w:val="21"/>
          <w:shd w:val="clear" w:fill="FFFFFF"/>
        </w:rPr>
        <w:t>所有者权益变动表是反映构成所有者权益各组成部分当期增减变动情况的报表。（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p>
    <w:p>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正确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lang w:val="en-US" w:eastAsia="zh-CN"/>
        </w:rPr>
        <w:t>10</w:t>
      </w:r>
      <w:r>
        <w:rPr>
          <w:rFonts w:ascii="微软雅黑" w:hAnsi="微软雅黑" w:eastAsia="微软雅黑" w:cs="微软雅黑"/>
          <w:i w:val="0"/>
          <w:iCs w:val="0"/>
          <w:caps w:val="0"/>
          <w:color w:val="44484D"/>
          <w:spacing w:val="0"/>
          <w:sz w:val="21"/>
          <w:szCs w:val="21"/>
          <w:shd w:val="clear" w:fill="FFFFFF"/>
        </w:rPr>
        <w:t>在某一时段内履行的履约义务，若能合理确定履约进度的，企业应于资产负债表日按照合同的交易价格总额乘以履约进度扣除以前会计期间累计已确认的收入后的金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sz w:val="21"/>
          <w:szCs w:val="21"/>
          <w:shd w:val="clear" w:fill="FFFFFF"/>
        </w:rPr>
        <w:t>额，确认当期收入。 （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p>
    <w:p>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正确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错误</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四：不定项选择题（共3大题，每大题5个小题。每题2分。共30分）</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ascii="微软雅黑" w:hAnsi="微软雅黑" w:eastAsia="微软雅黑" w:cs="微软雅黑"/>
          <w:i w:val="0"/>
          <w:iCs w:val="0"/>
          <w:caps w:val="0"/>
          <w:color w:val="44484D"/>
          <w:spacing w:val="0"/>
          <w:sz w:val="21"/>
          <w:szCs w:val="21"/>
          <w:shd w:val="clear" w:fill="FFFFFF"/>
        </w:rPr>
      </w:pPr>
      <w:r>
        <w:rPr>
          <w:rFonts w:ascii="微软雅黑" w:hAnsi="微软雅黑" w:eastAsia="微软雅黑" w:cs="微软雅黑"/>
          <w:i w:val="0"/>
          <w:iCs w:val="0"/>
          <w:caps w:val="0"/>
          <w:color w:val="44484D"/>
          <w:spacing w:val="0"/>
          <w:sz w:val="21"/>
          <w:szCs w:val="21"/>
          <w:shd w:val="clear" w:fill="FFFFFF"/>
        </w:rPr>
        <w:t>甲企业为增值税一般纳税人，适用的增值税税率为13%，因保管车辆的需要，2020年1月该企业决定采用自营方式建造一栋车库。相关资料如下：（1）2020年1月至6月，购入工程物资100万元，增值税13万元；发生运输费用5万元，增值税0.45万元；全部款项以银行存款付讫。施工期间，购入工程物资全部用于工程建设；确认的工程人员薪酬为30万元；支付其他直接费用39万元；领用本企业生产的水泥一批，该批水泥成本为20万元，公允价值为30万元。（2）2020年6月30日，车库达到预定可使用状态，预计可使用20年，预计净残值为2万元，采用年限平均法计提折旧。（3）2022年6月30日，董事会决定将该车库进行改扩建，当日领用本企业外购原材料一批，成本为15万元，领用本企业自产产品一批，成本50万元，公允价值为60万元。（4）2022年12月31日，车库改扩建完成，支付工程款取得增值税专用发票注明的价款30万元，增值税税额为2.7万元。要求：根据上述资料，不考虑其他因素，分析回答下列小题（答案中的金额单位用万元表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1.根据资料（1），下列各项中，甲企业购入工程物资的入账成本是（）万元。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118.45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118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113     D、105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2.根据资料（1），下列各项中，甲企业建造车库领用自产水泥的会计处理正确的是（）。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借：在建工程33.9贷：主营业务收入30应交税费--应交增值税（销项税额）3.9借：主营业务成本20贷：库存商品20</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借：在建工程20贷：库存商品20</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借：在建工程22.6贷：库存商品20应交税费--应交增值税（进项税额转出）2.6</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借：在建工程23.9贷：库存商品20应交税费--应交增值税（销项税额）3.9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3.根据资料（2），下列各项中，关于该车库2020年的有关会计处理结果正确的是（）。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入账价值194万元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当年计提折旧4.85万元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当年计提折旧4.8万元   </w:t>
      </w:r>
      <w:bookmarkStart w:id="0" w:name="_GoBack"/>
      <w:bookmarkEnd w:id="0"/>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年末账面价值为189.2万元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4.根据资料（1）至（3），下列各项中，甲企业2022年将该车库改扩建的会计处理正确的是（）。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转入在建工程：借：在建工程174.8累计折旧19.2贷：固定资产194</w:t>
      </w:r>
    </w:p>
    <w:p>
      <w:pPr>
        <w:keepNext w:val="0"/>
        <w:keepLines w:val="0"/>
        <w:widowControl/>
        <w:suppressLineNumbers w:val="0"/>
        <w:spacing w:before="0" w:beforeAutospacing="0" w:after="0" w:afterAutospacing="0"/>
        <w:ind w:left="0" w:right="0"/>
        <w:jc w:val="left"/>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B、领用外购原材料时：借：在建工程15贷：原材料15</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将原材料进项税额转出时：借：在建工程1.95贷：应交税费--应交增值税（进项税额转出）1.95</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领用本企业自产产品时：借：在建工程50贷：库存商品50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5.根据资料（1）至（4），2022年12月31日车库完成改扩建后的入账金额为（）万元。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279.8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271.33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272.35   </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269.8</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甲、乙、丙公司均不在同一集团内，2021年至2022年甲公司发生如下与长期股权投资相关的交易或事项：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（1）2021年1月，甲公司以11 000万元购入乙公司有表决权股份的80%，能够对乙公司实施控制，取得投资时，乙公司所有者权益的账面价值为15 000万元（与公允价值相等）。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（2）2021年1月，甲公司以9 000万元取得丙公司有表决权股份的30%，能够对丙公司施加重大影响，投资时，丙公司可辨认净资产的账面价值为25 000万元（与公允价值相等）。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（3）2021年度乙公司实现净利润4 000万元，丙公司实现净利润3 000万元。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（4）2022年3月，乙公司和丙公司分别宣告分派现金股利，甲公司按其持股比例可分得乙公司现金股利200万元，丙公司现金股利100万元。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（5）2022年10月，丙公司其他资本公积增加1 000万元。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（6）2022年12月，甲公司将其持有的丙公司股份全部出售，取得价款11 000万元。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要求：根据上述资料，不考虑其他因素，分析回答下列小题（答案中的金额单位用万元表示）。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w:t>
      </w:r>
      <w:r>
        <w:rPr>
          <w:rFonts w:hint="eastAsia" w:ascii="微软雅黑" w:hAnsi="微软雅黑" w:eastAsia="微软雅黑" w:cs="微软雅黑"/>
          <w:i w:val="0"/>
          <w:iCs w:val="0"/>
          <w:caps w:val="0"/>
          <w:color w:val="44484D"/>
          <w:spacing w:val="0"/>
          <w:sz w:val="21"/>
          <w:szCs w:val="21"/>
          <w:shd w:val="clear" w:fill="FFFFFF"/>
        </w:rPr>
        <w:t>根据资料（1）和（2），下列各项中，关于甲公司长期股权投资核算方法表述正确的是（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对乙公司的长期股权投资应采用权益法核算</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对丙公司的长期股权投资应采用权益法核算</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对乙公司的长期股权投资应采用成本法核算</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对丙公司的长期股权投资应采用成本法核算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2.</w:t>
      </w:r>
      <w:r>
        <w:rPr>
          <w:rFonts w:hint="eastAsia" w:ascii="微软雅黑" w:hAnsi="微软雅黑" w:eastAsia="微软雅黑" w:cs="微软雅黑"/>
          <w:i w:val="0"/>
          <w:iCs w:val="0"/>
          <w:caps w:val="0"/>
          <w:color w:val="44484D"/>
          <w:spacing w:val="0"/>
          <w:sz w:val="21"/>
          <w:szCs w:val="21"/>
          <w:shd w:val="clear" w:fill="FFFFFF"/>
        </w:rPr>
        <w:t>根据资料（1）和（2），下列各项中，关于甲公司取得长期股权投资时会计处理结果正确的是（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对丙公司的投资，“长期股权投资”科目增加9 000万元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对乙公司的投资，“长期股权投资”科目增加12 000万元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对乙公司的投资，“长期股权投资”科目增加11 000万元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对丙公司的投资，“长期股权投资”科目增加7 500万元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3.</w:t>
      </w:r>
      <w:r>
        <w:rPr>
          <w:rFonts w:hint="eastAsia" w:ascii="微软雅黑" w:hAnsi="微软雅黑" w:eastAsia="微软雅黑" w:cs="微软雅黑"/>
          <w:i w:val="0"/>
          <w:iCs w:val="0"/>
          <w:caps w:val="0"/>
          <w:color w:val="44484D"/>
          <w:spacing w:val="0"/>
          <w:sz w:val="21"/>
          <w:szCs w:val="21"/>
          <w:shd w:val="clear" w:fill="FFFFFF"/>
        </w:rPr>
        <w:t>根据资料（3）和（4），下列各项中，关于甲公司会计处理正确的是（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乙公司宣告分派现金股利： 借：应收股利 200 贷：投资收益 200</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乙公司实现净利润： 借：长期股权投资——乙公司——损益调整 32 000 贷：投资收益 32 000</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丙公司宣告分派现金股利： 借：应收股利 100 贷：长期股权投资——丙公司——损益调整 100</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丙公司实现净利润： 借：长期股权投资——丙公司——损益调整 900 贷：投资收益 900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3.</w:t>
      </w:r>
      <w:r>
        <w:rPr>
          <w:rFonts w:hint="eastAsia" w:ascii="微软雅黑" w:hAnsi="微软雅黑" w:eastAsia="微软雅黑" w:cs="微软雅黑"/>
          <w:i w:val="0"/>
          <w:iCs w:val="0"/>
          <w:caps w:val="0"/>
          <w:color w:val="44484D"/>
          <w:spacing w:val="0"/>
          <w:sz w:val="21"/>
          <w:szCs w:val="21"/>
          <w:shd w:val="clear" w:fill="FFFFFF"/>
        </w:rPr>
        <w:t>根据资料（5），下列各项中，关于甲公司会计处理结果正确的是（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“长期股权投资——丙公司——其他权益变动”科目增加300万元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“其他综合收益”科目增加300万元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“投资收益”科目增加300万元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“资本公积——其他资本公积”科目增加300万元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5.</w:t>
      </w:r>
      <w:r>
        <w:rPr>
          <w:rFonts w:hint="eastAsia" w:ascii="微软雅黑" w:hAnsi="微软雅黑" w:eastAsia="微软雅黑" w:cs="微软雅黑"/>
          <w:i w:val="0"/>
          <w:iCs w:val="0"/>
          <w:caps w:val="0"/>
          <w:color w:val="44484D"/>
          <w:spacing w:val="0"/>
          <w:sz w:val="21"/>
          <w:szCs w:val="21"/>
          <w:shd w:val="clear" w:fill="FFFFFF"/>
        </w:rPr>
        <w:t>根据资料（6），下列各项中，甲公司应确认的投资收益是（ ）万元。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900   </w:t>
      </w: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1 200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800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2 000</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2021年5月3日，甲公司以480万元购入乙公司股票60万股作为交易性金融资产，另支付交易费用10万元，增值税进项税额0.6万元。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（1）2021年6月30日，该股票每股市价为7.5元。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（2）2021年8月10日，乙公司宣告分派现金股利，每股0.2元。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（3）2021年8月20日，甲公司收到分派的现金股利。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（4）2021年12月31日，甲公司仍持有该交易性金融资产，期末每股市价为8.2元。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sz w:val="21"/>
          <w:szCs w:val="21"/>
          <w:shd w:val="clear" w:fill="FFFFFF"/>
        </w:rPr>
        <w:t>（5）2022年1月3日，以515万元出售该交易性金融资产。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shd w:val="clear" w:fill="FFFFFF"/>
        </w:rPr>
      </w:pPr>
      <w:r>
        <w:rPr>
          <w:rFonts w:hint="eastAsia" w:ascii="微软雅黑" w:hAnsi="微软雅黑" w:eastAsia="微软雅黑" w:cs="微软雅黑"/>
          <w:i w:val="0"/>
          <w:iCs w:val="0"/>
          <w:caps w:val="0"/>
          <w:color w:val="44484D"/>
          <w:spacing w:val="0"/>
          <w:sz w:val="21"/>
          <w:szCs w:val="21"/>
          <w:shd w:val="clear" w:fill="FFFFFF"/>
        </w:rPr>
        <w:t>要求：根据上述资料，分析回答下列问题。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44484D"/>
          <w:spacing w:val="0"/>
          <w:sz w:val="21"/>
          <w:szCs w:val="21"/>
        </w:rPr>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1.下列说法中，正确的是（）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购入交易性金融资产时发生的交易费用计入其成本</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交易性金融资产的入账价值是480万元</w:t>
      </w:r>
    </w:p>
    <w:p>
      <w:pPr>
        <w:keepNext w:val="0"/>
        <w:keepLines w:val="0"/>
        <w:widowControl/>
        <w:suppressLineNumbers w:val="0"/>
        <w:spacing w:before="0" w:beforeAutospacing="0" w:after="0" w:afterAutospacing="0"/>
        <w:ind w:left="0" w:right="0"/>
        <w:jc w:val="left"/>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C、购入交易性金融资产时发生的交易费用计入投资收益</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交易性金融资产的入账价值是490万元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2.</w:t>
      </w:r>
      <w:r>
        <w:rPr>
          <w:rFonts w:hint="eastAsia" w:ascii="微软雅黑" w:hAnsi="微软雅黑" w:eastAsia="微软雅黑" w:cs="微软雅黑"/>
          <w:i w:val="0"/>
          <w:iCs w:val="0"/>
          <w:caps w:val="0"/>
          <w:color w:val="44484D"/>
          <w:spacing w:val="0"/>
          <w:sz w:val="21"/>
          <w:szCs w:val="21"/>
          <w:shd w:val="clear" w:fill="FFFFFF"/>
        </w:rPr>
        <w:t>关于甲公司2021年的处理，下列说法正确的是（）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i w:val="0"/>
          <w:iCs w:val="0"/>
          <w:caps w:val="0"/>
          <w:color w:val="666666"/>
          <w:spacing w:val="0"/>
          <w:sz w:val="24"/>
          <w:szCs w:val="24"/>
          <w:lang w:val="en-US" w:eastAsia="zh-CN"/>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2021年6月30日，确认公允价值变动损失30万元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2021年8月10日，乙公司宣告发放现金股利，甲公司确认为投资收益</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2021年6月30日，该交易性金融资产的账面价值是450万元</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2021年6月30日,确认公允价值变动收益30万元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rPr>
          <w:rFonts w:hint="eastAsia" w:ascii="微软雅黑" w:hAnsi="微软雅黑" w:eastAsia="微软雅黑" w:cs="微软雅黑"/>
          <w:b/>
          <w:bCs/>
          <w:i w:val="0"/>
          <w:iCs w:val="0"/>
          <w:caps w:val="0"/>
          <w:color w:val="44484D"/>
          <w:spacing w:val="0"/>
          <w:sz w:val="21"/>
          <w:szCs w:val="21"/>
          <w:shd w:val="clear" w:fill="FFFFFF"/>
        </w:rPr>
      </w:pPr>
      <w:r>
        <w:rPr>
          <w:rFonts w:hint="eastAsia" w:ascii="微软雅黑" w:hAnsi="微软雅黑" w:eastAsia="微软雅黑" w:cs="微软雅黑"/>
          <w:b/>
          <w:bCs/>
          <w:i w:val="0"/>
          <w:iCs w:val="0"/>
          <w:caps w:val="0"/>
          <w:color w:val="44484D"/>
          <w:spacing w:val="0"/>
          <w:sz w:val="21"/>
          <w:szCs w:val="21"/>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3.</w:t>
      </w:r>
      <w:r>
        <w:rPr>
          <w:rFonts w:hint="eastAsia" w:ascii="微软雅黑" w:hAnsi="微软雅黑" w:eastAsia="微软雅黑" w:cs="微软雅黑"/>
          <w:i w:val="0"/>
          <w:iCs w:val="0"/>
          <w:caps w:val="0"/>
          <w:color w:val="44484D"/>
          <w:spacing w:val="0"/>
          <w:sz w:val="21"/>
          <w:szCs w:val="21"/>
          <w:shd w:val="clear" w:fill="FFFFFF"/>
        </w:rPr>
        <w:t>交易性金融资产业务对甲公司2021年投资收益的影响金额为（）万元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10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12  </w:t>
      </w:r>
      <w:r>
        <w:rPr>
          <w:rFonts w:hint="eastAsia"/>
          <w:lang w:val="en-US" w:eastAsia="zh-CN"/>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 xml:space="preserve">2   </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-2</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4.</w:t>
      </w:r>
      <w:r>
        <w:rPr>
          <w:rFonts w:hint="eastAsia" w:ascii="微软雅黑" w:hAnsi="微软雅黑" w:eastAsia="微软雅黑" w:cs="微软雅黑"/>
          <w:i w:val="0"/>
          <w:iCs w:val="0"/>
          <w:caps w:val="0"/>
          <w:color w:val="44484D"/>
          <w:spacing w:val="0"/>
          <w:sz w:val="21"/>
          <w:szCs w:val="21"/>
          <w:shd w:val="clear" w:fill="FFFFFF"/>
        </w:rPr>
        <w:t>2021年12月31日，甲公司每股市价为8.2元，下列处理正确的是（）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借：公允价值变动损益420000 贷：交易性金融资产——公允价值变动420000</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lang w:val="en-US" w:eastAsia="zh-CN"/>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借：交易性金融资产——公允价值变动420000 贷：公允价值变动损益420000</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借：公允价值变动损益120000 贷：交易性金融资产——公允价值变动120000</w:t>
      </w: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sz w:val="24"/>
          <w:szCs w:val="24"/>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借：交易性金融资产——公允价值变动120000 贷：公允价值变动损益120000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left="0" w:right="0"/>
        <w:jc w:val="both"/>
      </w:pPr>
      <w:r>
        <w:rPr>
          <w:rFonts w:hint="eastAsia" w:ascii="微软雅黑" w:hAnsi="微软雅黑" w:eastAsia="微软雅黑" w:cs="微软雅黑"/>
          <w:i w:val="0"/>
          <w:iCs w:val="0"/>
          <w:caps w:val="0"/>
          <w:color w:val="44484D"/>
          <w:spacing w:val="0"/>
          <w:kern w:val="0"/>
          <w:sz w:val="21"/>
          <w:szCs w:val="21"/>
          <w:shd w:val="clear" w:fill="FFFFFF"/>
          <w:lang w:val="en-US" w:eastAsia="zh-CN" w:bidi="ar"/>
        </w:rPr>
        <w:t>5.</w:t>
      </w:r>
      <w:r>
        <w:rPr>
          <w:rFonts w:hint="eastAsia" w:ascii="微软雅黑" w:hAnsi="微软雅黑" w:eastAsia="微软雅黑" w:cs="微软雅黑"/>
          <w:i w:val="0"/>
          <w:iCs w:val="0"/>
          <w:caps w:val="0"/>
          <w:color w:val="44484D"/>
          <w:spacing w:val="0"/>
          <w:sz w:val="21"/>
          <w:szCs w:val="21"/>
          <w:shd w:val="clear" w:fill="FFFFFF"/>
        </w:rPr>
        <w:t>2022年1月3日以515万元出售该交易性金融资产，对甲公司投资收益的影响额为（）万元。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A.</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35（借方）</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B.</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35（贷方）</w:t>
      </w:r>
      <w:r>
        <w:rPr>
          <w:rFonts w:hint="eastAsia" w:ascii="微软雅黑" w:hAnsi="微软雅黑" w:eastAsia="微软雅黑" w:cs="微软雅黑"/>
          <w:b/>
          <w:bCs/>
          <w:i w:val="0"/>
          <w:iCs w:val="0"/>
          <w:caps w:val="0"/>
          <w:color w:val="666666"/>
          <w:spacing w:val="0"/>
          <w:kern w:val="0"/>
          <w:sz w:val="24"/>
          <w:szCs w:val="24"/>
          <w:shd w:val="clear" w:fill="FFFFFF"/>
          <w:lang w:val="en-US" w:eastAsia="zh-CN" w:bidi="ar"/>
        </w:rPr>
        <w:t>C.</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23（借方）</w:t>
      </w:r>
      <w:r>
        <w:rPr>
          <w:rFonts w:hint="eastAsia"/>
          <w:lang w:val="en-US" w:eastAsia="zh-CN"/>
        </w:rPr>
        <w:t>D、</w:t>
      </w:r>
      <w:r>
        <w:rPr>
          <w:rFonts w:hint="eastAsia" w:ascii="微软雅黑" w:hAnsi="微软雅黑" w:eastAsia="微软雅黑" w:cs="微软雅黑"/>
          <w:i w:val="0"/>
          <w:iCs w:val="0"/>
          <w:caps w:val="0"/>
          <w:color w:val="666666"/>
          <w:spacing w:val="0"/>
          <w:kern w:val="0"/>
          <w:sz w:val="24"/>
          <w:szCs w:val="24"/>
          <w:shd w:val="clear" w:fill="FFFFFF"/>
          <w:lang w:val="en-US" w:eastAsia="zh-CN" w:bidi="ar"/>
        </w:rPr>
        <w:t>23（贷方）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b/>
          <w:bCs/>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b/>
          <w:bCs/>
          <w:i w:val="0"/>
          <w:iCs w:val="0"/>
          <w:caps w:val="0"/>
          <w:color w:val="44484D"/>
          <w:spacing w:val="0"/>
          <w:kern w:val="0"/>
          <w:sz w:val="21"/>
          <w:szCs w:val="21"/>
          <w:shd w:val="clear" w:fill="FFFFFF"/>
          <w:lang w:val="en-US" w:eastAsia="zh-CN" w:bidi="ar"/>
        </w:rPr>
      </w:pP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rPr>
          <w:rFonts w:hint="eastAsia" w:ascii="微软雅黑" w:hAnsi="微软雅黑" w:eastAsia="微软雅黑" w:cs="微软雅黑"/>
          <w:b/>
          <w:bCs/>
          <w:i w:val="0"/>
          <w:iCs w:val="0"/>
          <w:caps w:val="0"/>
          <w:color w:val="44484D"/>
          <w:spacing w:val="0"/>
          <w:sz w:val="21"/>
          <w:szCs w:val="21"/>
          <w:shd w:val="clear" w:fill="FFFFFF"/>
        </w:rPr>
      </w:pP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b/>
          <w:bCs/>
          <w:i w:val="0"/>
          <w:iCs w:val="0"/>
          <w:caps w:val="0"/>
          <w:color w:val="44484D"/>
          <w:spacing w:val="0"/>
          <w:kern w:val="0"/>
          <w:sz w:val="21"/>
          <w:szCs w:val="21"/>
          <w:shd w:val="clear" w:fill="FFFFFF"/>
          <w:lang w:val="en-US" w:eastAsia="zh-CN" w:bidi="ar"/>
        </w:rPr>
      </w:pP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微软雅黑" w:hAnsi="微软雅黑" w:eastAsia="微软雅黑" w:cs="微软雅黑"/>
          <w:i w:val="0"/>
          <w:iCs w:val="0"/>
          <w:caps w:val="0"/>
          <w:color w:val="44484D"/>
          <w:spacing w:val="0"/>
          <w:sz w:val="21"/>
          <w:szCs w:val="21"/>
          <w:shd w:val="clear" w:fill="FFFFFF"/>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rPr>
          <w:rFonts w:hint="eastAsia" w:ascii="微软雅黑" w:hAnsi="微软雅黑" w:eastAsia="微软雅黑" w:cs="微软雅黑"/>
          <w:b/>
          <w:bCs/>
          <w:i w:val="0"/>
          <w:iCs w:val="0"/>
          <w:caps w:val="0"/>
          <w:color w:val="44484D"/>
          <w:spacing w:val="0"/>
          <w:sz w:val="21"/>
          <w:szCs w:val="21"/>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rPr>
          <w:rFonts w:hint="eastAsia" w:ascii="微软雅黑" w:hAnsi="微软雅黑" w:eastAsia="微软雅黑" w:cs="微软雅黑"/>
          <w:b/>
          <w:bCs/>
          <w:i w:val="0"/>
          <w:iCs w:val="0"/>
          <w:caps w:val="0"/>
          <w:color w:val="44484D"/>
          <w:spacing w:val="0"/>
          <w:sz w:val="21"/>
          <w:szCs w:val="21"/>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jc w:val="left"/>
        <w:rPr>
          <w:b/>
          <w:bCs/>
        </w:rPr>
      </w:pP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rPr>
          <w:rFonts w:hint="eastAsia" w:ascii="微软雅黑" w:hAnsi="微软雅黑" w:eastAsia="微软雅黑" w:cs="微软雅黑"/>
          <w:b/>
          <w:bCs/>
          <w:i w:val="0"/>
          <w:iCs w:val="0"/>
          <w:caps w:val="0"/>
          <w:color w:val="44484D"/>
          <w:spacing w:val="0"/>
          <w:sz w:val="21"/>
          <w:szCs w:val="21"/>
          <w:shd w:val="clear" w:fill="FFFFFF"/>
        </w:rPr>
      </w:pP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rPr>
          <w:rFonts w:hint="eastAsia" w:ascii="微软雅黑" w:hAnsi="微软雅黑" w:eastAsia="微软雅黑" w:cs="微软雅黑"/>
          <w:b/>
          <w:bCs/>
          <w:i w:val="0"/>
          <w:iCs w:val="0"/>
          <w:caps w:val="0"/>
          <w:color w:val="44484D"/>
          <w:spacing w:val="0"/>
          <w:sz w:val="21"/>
          <w:szCs w:val="21"/>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jc w:val="left"/>
        <w:rPr>
          <w:b/>
          <w:bCs/>
        </w:rPr>
      </w:pP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rPr>
          <w:rFonts w:hint="eastAsia" w:ascii="微软雅黑" w:hAnsi="微软雅黑" w:eastAsia="微软雅黑" w:cs="微软雅黑"/>
          <w:b/>
          <w:bCs/>
          <w:i w:val="0"/>
          <w:iCs w:val="0"/>
          <w:caps w:val="0"/>
          <w:color w:val="44484D"/>
          <w:spacing w:val="0"/>
          <w:sz w:val="21"/>
          <w:szCs w:val="21"/>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jc w:val="left"/>
        <w:rPr>
          <w:b/>
          <w:bCs/>
        </w:rPr>
      </w:pP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b/>
          <w:bCs/>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b/>
          <w:bCs/>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b/>
          <w:bCs/>
          <w:i w:val="0"/>
          <w:iCs w:val="0"/>
          <w:caps w:val="0"/>
          <w:color w:val="44484D"/>
          <w:spacing w:val="0"/>
          <w:kern w:val="0"/>
          <w:sz w:val="21"/>
          <w:szCs w:val="21"/>
          <w:shd w:val="clear" w:fill="FFFFFF"/>
          <w:lang w:val="en-US" w:eastAsia="zh-CN" w:bidi="ar"/>
        </w:rPr>
      </w:pP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b/>
          <w:bCs/>
          <w:i w:val="0"/>
          <w:iCs w:val="0"/>
          <w:caps w:val="0"/>
          <w:color w:val="44484D"/>
          <w:spacing w:val="0"/>
          <w:kern w:val="0"/>
          <w:sz w:val="21"/>
          <w:szCs w:val="21"/>
          <w:shd w:val="clear" w:fill="FFFFFF"/>
          <w:lang w:val="en-US" w:eastAsia="zh-CN" w:bidi="ar"/>
        </w:rPr>
      </w:pP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b/>
          <w:bCs/>
          <w:i w:val="0"/>
          <w:iCs w:val="0"/>
          <w:caps w:val="0"/>
          <w:color w:val="44484D"/>
          <w:spacing w:val="0"/>
          <w:kern w:val="0"/>
          <w:sz w:val="21"/>
          <w:szCs w:val="21"/>
          <w:shd w:val="clear" w:fill="FFFFFF"/>
          <w:lang w:val="en-US" w:eastAsia="zh-CN" w:bidi="ar"/>
        </w:rPr>
      </w:pP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b/>
          <w:bCs/>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微软雅黑" w:hAnsi="微软雅黑" w:eastAsia="微软雅黑" w:cs="微软雅黑"/>
          <w:i w:val="0"/>
          <w:iCs w:val="0"/>
          <w:caps w:val="0"/>
          <w:color w:val="44484D"/>
          <w:spacing w:val="0"/>
          <w:sz w:val="21"/>
          <w:szCs w:val="21"/>
          <w:shd w:val="clear" w:fill="FFFFFF"/>
          <w:lang w:val="en-US" w:eastAsia="zh-CN"/>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rPr>
          <w:rFonts w:hint="eastAsia" w:ascii="微软雅黑" w:hAnsi="微软雅黑" w:eastAsia="微软雅黑" w:cs="微软雅黑"/>
          <w:i w:val="0"/>
          <w:iCs w:val="0"/>
          <w:caps w:val="0"/>
          <w:color w:val="44484D"/>
          <w:spacing w:val="0"/>
          <w:sz w:val="21"/>
          <w:szCs w:val="21"/>
          <w:shd w:val="clear" w:fill="FFFFFF"/>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default"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750" w:right="0" w:firstLine="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150" w:beforeAutospacing="0" w:after="0" w:afterAutospacing="0"/>
        <w:ind w:leftChars="0" w:right="0" w:rightChars="0"/>
        <w:rPr>
          <w:rFonts w:hint="default" w:ascii="微软雅黑" w:hAnsi="微软雅黑" w:eastAsia="微软雅黑" w:cs="微软雅黑"/>
          <w:i w:val="0"/>
          <w:iCs w:val="0"/>
          <w:caps w:val="0"/>
          <w:color w:val="44484D"/>
          <w:spacing w:val="0"/>
          <w:sz w:val="21"/>
          <w:szCs w:val="21"/>
          <w:shd w:val="clear" w:fill="FFFFFF"/>
          <w:lang w:val="en-US" w:eastAsia="zh-CN"/>
        </w:rPr>
      </w:pP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rPr>
          <w:rFonts w:hint="eastAsia" w:ascii="微软雅黑" w:hAnsi="微软雅黑" w:eastAsia="微软雅黑" w:cs="微软雅黑"/>
          <w:i w:val="0"/>
          <w:iCs w:val="0"/>
          <w:caps w:val="0"/>
          <w:color w:val="44484D"/>
          <w:spacing w:val="0"/>
          <w:sz w:val="21"/>
          <w:szCs w:val="21"/>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b/>
          <w:bCs/>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Chars="0" w:right="0" w:rightChars="0"/>
        <w:rPr>
          <w:rFonts w:hint="default" w:ascii="微软雅黑" w:hAnsi="微软雅黑" w:eastAsia="微软雅黑" w:cs="微软雅黑"/>
          <w:i w:val="0"/>
          <w:iCs w:val="0"/>
          <w:caps w:val="0"/>
          <w:color w:val="44484D"/>
          <w:spacing w:val="0"/>
          <w:sz w:val="21"/>
          <w:szCs w:val="21"/>
          <w:shd w:val="clear" w:fill="FFFFFF"/>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jc w:val="left"/>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rPr>
          <w:rFonts w:hint="eastAsia" w:ascii="微软雅黑" w:hAnsi="微软雅黑" w:eastAsia="微软雅黑" w:cs="微软雅黑"/>
          <w:i w:val="0"/>
          <w:iCs w:val="0"/>
          <w:caps w:val="0"/>
          <w:color w:val="44484D"/>
          <w:spacing w:val="0"/>
          <w:sz w:val="21"/>
          <w:szCs w:val="21"/>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jc w:val="left"/>
      </w:pP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rPr>
          <w:rFonts w:hint="eastAsia" w:ascii="微软雅黑" w:hAnsi="微软雅黑" w:eastAsia="微软雅黑" w:cs="微软雅黑"/>
          <w:i w:val="0"/>
          <w:iCs w:val="0"/>
          <w:caps w:val="0"/>
          <w:color w:val="44484D"/>
          <w:spacing w:val="0"/>
          <w:sz w:val="21"/>
          <w:szCs w:val="21"/>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rPr>
          <w:rFonts w:hint="eastAsia" w:ascii="微软雅黑" w:hAnsi="微软雅黑" w:eastAsia="微软雅黑" w:cs="微软雅黑"/>
          <w:i w:val="0"/>
          <w:iCs w:val="0"/>
          <w:caps w:val="0"/>
          <w:color w:val="44484D"/>
          <w:spacing w:val="0"/>
          <w:sz w:val="21"/>
          <w:szCs w:val="21"/>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jc w:val="left"/>
      </w:pP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rPr>
          <w:rFonts w:hint="eastAsia" w:ascii="微软雅黑" w:hAnsi="微软雅黑" w:eastAsia="微软雅黑" w:cs="微软雅黑"/>
          <w:i w:val="0"/>
          <w:iCs w:val="0"/>
          <w:caps w:val="0"/>
          <w:color w:val="44484D"/>
          <w:spacing w:val="0"/>
          <w:sz w:val="21"/>
          <w:szCs w:val="21"/>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jc w:val="left"/>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ind w:left="0" w:right="0"/>
        <w:rPr>
          <w:rFonts w:hint="eastAsia" w:ascii="微软雅黑" w:hAnsi="微软雅黑" w:eastAsia="微软雅黑" w:cs="微软雅黑"/>
          <w:i w:val="0"/>
          <w:iCs w:val="0"/>
          <w:caps w:val="0"/>
          <w:color w:val="44484D"/>
          <w:spacing w:val="0"/>
          <w:sz w:val="21"/>
          <w:szCs w:val="21"/>
          <w:shd w:val="clear" w:fill="FFFFFF"/>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spacing w:before="0" w:beforeAutospacing="0" w:after="0" w:afterAutospacing="0"/>
        <w:ind w:left="0" w:right="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ascii="宋体" w:hAnsi="宋体" w:eastAsia="宋体" w:cs="宋体"/>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666666"/>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44484D"/>
          <w:spacing w:val="0"/>
          <w:sz w:val="21"/>
          <w:szCs w:val="21"/>
          <w:shd w:val="clear" w:fill="FFFFFF"/>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jc w:val="left"/>
        <w:rPr>
          <w:rFonts w:hint="eastAsia" w:ascii="微软雅黑" w:hAnsi="微软雅黑" w:eastAsia="微软雅黑" w:cs="微软雅黑"/>
          <w:i w:val="0"/>
          <w:iCs w:val="0"/>
          <w:caps w:val="0"/>
          <w:color w:val="666666"/>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0" w:afterAutospacing="0"/>
        <w:ind w:left="0" w:right="0" w:firstLine="0"/>
        <w:jc w:val="left"/>
        <w:rPr>
          <w:rFonts w:hint="eastAsia" w:ascii="微软雅黑" w:hAnsi="微软雅黑" w:eastAsia="微软雅黑" w:cs="微软雅黑"/>
          <w:i w:val="0"/>
          <w:iCs w:val="0"/>
          <w:caps w:val="0"/>
          <w:color w:val="44484D"/>
          <w:spacing w:val="0"/>
          <w:kern w:val="0"/>
          <w:sz w:val="21"/>
          <w:szCs w:val="21"/>
          <w:shd w:val="clear" w:fill="FFFFFF"/>
          <w:lang w:val="en-US" w:eastAsia="zh-CN" w:bidi="ar"/>
        </w:rPr>
      </w:pP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lang w:val="en-US"/>
      </w:rPr>
    </w:pPr>
    <w:r>
      <w:rPr>
        <w:sz w:val="18"/>
      </w:rPr>
      <w:pict>
        <v:shape id="PowerPlusWaterMarkObject34993" o:spid="_x0000_s4097" o:spt="136" type="#_x0000_t136" style="position:absolute;left:0pt;height:144.5pt;width:442.75pt;mso-position-horizontal:center;mso-position-horizontal-relative:margin;mso-position-vertical:center;mso-position-vertical-relative:margin;rotation:-2949120f;z-index:-251657216;mso-width-relative:page;mso-height-relative:page;" fillcolor="#C0C0C0" filled="t" stroked="f" coordsize="21600,21600" adj="10800">
          <v:path/>
          <v:fill on="t" opacity="32768f" focussize="0,0"/>
          <v:stroke on="f"/>
          <v:imagedata o:title=""/>
          <o:lock v:ext="edit" aspectratio="t"/>
          <v:textpath on="t" fitshape="t" fitpath="t" trim="t" xscale="f" string="英才会计" style="font-family:微软雅黑;font-size:36pt;v-same-letter-heights:f;v-text-align:center;"/>
        </v:shape>
      </w:pict>
    </w:r>
    <w:r>
      <w:rPr>
        <w:rFonts w:hint="eastAsia"/>
        <w:lang w:val="en-US" w:eastAsia="zh-CN"/>
      </w:rPr>
      <w:t>费县英才会计培训学校</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CA5055"/>
    <w:multiLevelType w:val="singleLevel"/>
    <w:tmpl w:val="DBCA5055"/>
    <w:lvl w:ilvl="0" w:tentative="0">
      <w:start w:val="1"/>
      <w:numFmt w:val="upperLetter"/>
      <w:suff w:val="space"/>
      <w:lvlText w:val="%1."/>
      <w:lvlJc w:val="left"/>
    </w:lvl>
  </w:abstractNum>
  <w:abstractNum w:abstractNumId="1">
    <w:nsid w:val="278D90FD"/>
    <w:multiLevelType w:val="singleLevel"/>
    <w:tmpl w:val="278D90FD"/>
    <w:lvl w:ilvl="0" w:tentative="0">
      <w:start w:val="1"/>
      <w:numFmt w:val="upperLetter"/>
      <w:suff w:val="nothing"/>
      <w:lvlText w:val="%1、"/>
      <w:lvlJc w:val="left"/>
    </w:lvl>
  </w:abstractNum>
  <w:abstractNum w:abstractNumId="2">
    <w:nsid w:val="36B5C809"/>
    <w:multiLevelType w:val="singleLevel"/>
    <w:tmpl w:val="36B5C809"/>
    <w:lvl w:ilvl="0" w:tentative="0">
      <w:start w:val="2"/>
      <w:numFmt w:val="decimal"/>
      <w:suff w:val="space"/>
      <w:lvlText w:val="%1."/>
      <w:lvlJc w:val="left"/>
    </w:lvl>
  </w:abstractNum>
  <w:abstractNum w:abstractNumId="3">
    <w:nsid w:val="52284BA7"/>
    <w:multiLevelType w:val="singleLevel"/>
    <w:tmpl w:val="52284BA7"/>
    <w:lvl w:ilvl="0" w:tentative="0">
      <w:start w:val="1"/>
      <w:numFmt w:val="upperLetter"/>
      <w:suff w:val="nothing"/>
      <w:lvlText w:val="%1、"/>
      <w:lvlJc w:val="left"/>
    </w:lvl>
  </w:abstractNum>
  <w:abstractNum w:abstractNumId="4">
    <w:nsid w:val="6DB1EAC8"/>
    <w:multiLevelType w:val="singleLevel"/>
    <w:tmpl w:val="6DB1EAC8"/>
    <w:lvl w:ilvl="0" w:tentative="0">
      <w:start w:val="2"/>
      <w:numFmt w:val="chineseCounting"/>
      <w:suff w:val="nothing"/>
      <w:lvlText w:val="%1、"/>
      <w:lvlJc w:val="left"/>
      <w:rPr>
        <w:rFonts w:hint="eastAsia"/>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wNTFiMzk1MWU0MTFhMDgxMWM5MzkwYjU1OWE0YjIifQ=="/>
  </w:docVars>
  <w:rsids>
    <w:rsidRoot w:val="34AC4C76"/>
    <w:rsid w:val="016951BE"/>
    <w:rsid w:val="032369D7"/>
    <w:rsid w:val="23FC2A48"/>
    <w:rsid w:val="26D8122A"/>
    <w:rsid w:val="2A0B250F"/>
    <w:rsid w:val="34AC4C76"/>
    <w:rsid w:val="47566AAD"/>
    <w:rsid w:val="518B3B7F"/>
    <w:rsid w:val="530A52C4"/>
    <w:rsid w:val="54627EC3"/>
    <w:rsid w:val="5DAE6325"/>
    <w:rsid w:val="727E4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6300</Words>
  <Characters>7018</Characters>
  <Lines>0</Lines>
  <Paragraphs>0</Paragraphs>
  <TotalTime>112</TotalTime>
  <ScaleCrop>false</ScaleCrop>
  <LinksUpToDate>false</LinksUpToDate>
  <CharactersWithSpaces>7349</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2022-06-24T06:25:00Z</dcterms:created>
  <dc:creator>Administrator</dc:creator>
  <cp:lastModifiedBy>Administrator</cp:lastModifiedBy>
  <dcterms:modified xsi:type="dcterms:W3CDTF">2022-06-24T08:39:09Z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99E6A4ECDD0E4B6F9D88BD4F47995394</vt:lpwstr>
  </property>
</Properties>
</file>